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8410E">
        <w:rPr>
          <w:rFonts w:ascii="Arial" w:hAnsi="Arial" w:cs="Arial"/>
          <w:b/>
          <w:sz w:val="22"/>
          <w:szCs w:val="22"/>
        </w:rPr>
        <w:t>1ª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D8410E">
        <w:rPr>
          <w:rFonts w:ascii="Arial" w:hAnsi="Arial" w:cs="Arial"/>
          <w:b/>
          <w:sz w:val="22"/>
          <w:szCs w:val="22"/>
        </w:rPr>
        <w:t>EXTRAORDINÁRIA</w:t>
      </w:r>
      <w:r w:rsidRPr="000940DA">
        <w:rPr>
          <w:rFonts w:ascii="Arial" w:hAnsi="Arial" w:cs="Arial"/>
          <w:b/>
          <w:sz w:val="22"/>
          <w:szCs w:val="22"/>
        </w:rPr>
        <w:t xml:space="preserve"> CATHIS-CAU/SC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D841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841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08/03/2018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B813D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813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13:53 – 18:00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53E1B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D8410E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D8410E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Vieira Rodrigues</w:t>
            </w:r>
          </w:p>
        </w:tc>
      </w:tr>
    </w:tbl>
    <w:p w:rsidR="00E11401" w:rsidRDefault="00E1140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A0763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53E1B"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A07631" w:rsidRDefault="00B813DE" w:rsidP="001562D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B813DE" w:rsidP="001562D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A0763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53E1B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</w:t>
            </w:r>
          </w:p>
        </w:tc>
        <w:tc>
          <w:tcPr>
            <w:tcW w:w="1244" w:type="dxa"/>
          </w:tcPr>
          <w:p w:rsidR="00A07631" w:rsidRDefault="00B813DE" w:rsidP="001562D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13:46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B813DE" w:rsidP="001562D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18:05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D8410E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D841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A07631" w:rsidRDefault="00B813DE" w:rsidP="001562D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B813DE" w:rsidP="001562D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18:30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B813DE" w:rsidTr="00B813DE">
        <w:trPr>
          <w:trHeight w:val="779"/>
        </w:trPr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813DE" w:rsidRDefault="00B813DE" w:rsidP="002B1BB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813DE" w:rsidRDefault="00B813DE" w:rsidP="00B813DE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Angelo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Arruda; Gustavo Andrade; Vania Burigo; Fernanda Menezes, </w:t>
            </w:r>
          </w:p>
          <w:p w:rsidR="00B813DE" w:rsidRDefault="00B813DE" w:rsidP="00B813DE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Cibele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Assmann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; Karla Moroso;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Taiane</w:t>
            </w:r>
            <w:proofErr w:type="spellEnd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CD3B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Beduschi</w:t>
            </w:r>
            <w:proofErr w:type="spellEnd"/>
          </w:p>
        </w:tc>
      </w:tr>
    </w:tbl>
    <w:p w:rsidR="00B813DE" w:rsidRDefault="00B813D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F84D3D" w:rsidTr="00D8410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4D3D" w:rsidRPr="00F84D3D" w:rsidRDefault="00D8410E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F84D3D" w:rsidRPr="00F84D3D" w:rsidTr="00D8410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B813DE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97276A" w:rsidRDefault="0097276A" w:rsidP="00D8410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813DE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3DE" w:rsidRPr="00074F58" w:rsidRDefault="00B813DE" w:rsidP="00B813D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participou da Reunião da Rede de Controle da Gestão Pública no dia 23/02/2018, </w:t>
            </w:r>
            <w:r w:rsidR="006B3F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Florianópolis,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tendo como tema o combate e controle da corrupção. Dentre os órgãos participantes, estavam representados o Tribunal de Contas, a Polícia Federal e o Ministério Público</w:t>
            </w:r>
            <w:r w:rsidR="006B3F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 Conselheiro afirmou ainda que irá apresentar o PEI-ATHIS numa próxima reunião da Rede para divulgação e discussão sobre o tema de habitação social.</w:t>
            </w:r>
          </w:p>
        </w:tc>
      </w:tr>
    </w:tbl>
    <w:p w:rsidR="00074F58" w:rsidRDefault="00074F58" w:rsidP="00EF7201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D8410E" w:rsidRDefault="00D8410E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410E">
              <w:rPr>
                <w:rFonts w:ascii="Arial" w:hAnsi="Arial" w:cs="Arial"/>
                <w:b/>
                <w:sz w:val="22"/>
                <w:szCs w:val="22"/>
              </w:rPr>
              <w:t>Definição do cronograma para conclusão dos trabalhos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F7201" w:rsidP="00397B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explicados pela Arquiteta Karla sobre os trabalhos realizados e </w:t>
            </w:r>
            <w:r w:rsidR="00397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afirmado que a assessoria está trabalhando para entregar na próxima reunião da CATHIS, programada para o dia 21/03/2018, os seguintes itens: cartilha, legislação e o PEI-ATHIS finalizados.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D8410E" w:rsidRDefault="00D8410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410E">
              <w:rPr>
                <w:rFonts w:ascii="Arial" w:hAnsi="Arial" w:cs="Arial"/>
                <w:b/>
                <w:sz w:val="22"/>
                <w:szCs w:val="22"/>
              </w:rPr>
              <w:t>Entrega do PEI-ATHIS revisado e concluído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EF7201" w:rsidP="00A169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16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convidados </w:t>
            </w:r>
            <w:proofErr w:type="spellStart"/>
            <w:r w:rsidRPr="00A16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Angelo</w:t>
            </w:r>
            <w:proofErr w:type="spellEnd"/>
            <w:r w:rsidRPr="00A16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Gustavo e Vania se apresentaram primeiramente. E o Arquiteto </w:t>
            </w:r>
            <w:proofErr w:type="spellStart"/>
            <w:r w:rsidRPr="00A16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Angelo</w:t>
            </w:r>
            <w:proofErr w:type="spellEnd"/>
            <w:r w:rsidRPr="00A16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afirmou que fez uma leitura rápida do documento e o</w:t>
            </w:r>
            <w:r w:rsidR="00A16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considerou excepcional, observando que Assistência Técnica é um direito e não política pública, desta forma está prevista em lei, a parte de política pública é a habitação.</w:t>
            </w:r>
          </w:p>
          <w:p w:rsidR="00A16949" w:rsidRDefault="00A16949" w:rsidP="00A169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relação a parte referente à legislação, o convidado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Angelo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B5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observou ser imprescindível que o plano proponha as atribuições do profissional quanto a assistência técnica, pois a atividades da ATHIS deve abranger aquilo que se trabalha, </w:t>
            </w:r>
            <w:proofErr w:type="gramStart"/>
            <w:r w:rsidR="00AB5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pois</w:t>
            </w:r>
            <w:proofErr w:type="gramEnd"/>
            <w:r w:rsidR="00AB5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essa área ainda afugenta os profissionais, visto que esses têm ciência que se houver algum problema, serão responsabilizados. Outro ponto foi 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dialogar</w:t>
            </w:r>
            <w:r w:rsidR="00AB5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os setores de Ensino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 tema para que esse seja um</w:t>
            </w:r>
            <w:r w:rsidR="006E67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disciplina e não somente </w:t>
            </w:r>
            <w:r w:rsidR="00AB5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visão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algum professor</w:t>
            </w:r>
            <w:r w:rsidR="006B40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normalmente de esquerda</w:t>
            </w:r>
            <w:r w:rsidR="006E67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6E6702" w:rsidRDefault="00AB5F0D" w:rsidP="00A1694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foi abordado de ser grande relevância que o plano seja apresentado para o Poder Judiciário e Ministério Público.</w:t>
            </w:r>
            <w:r w:rsidR="006B40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que, em abril, a Arquiteta Ermínia Maricato virá a Santa Catarina para discutir ATHIS e apresentar algumas linhas para discussão junto ao CAU/BR e que em maio haverá o Fórum BR Cidades para se discutir o Direito Social a moradia.</w:t>
            </w:r>
          </w:p>
          <w:p w:rsidR="006B4015" w:rsidRDefault="006B4015" w:rsidP="006B40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Arquiteta Vania afirmou que, com cuidado, pode-se envolver as Entidades no processo do plano de ATHIS.</w:t>
            </w:r>
          </w:p>
          <w:p w:rsidR="009A25AD" w:rsidRDefault="009A25AD" w:rsidP="006B40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Angelo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chamou atenção para a regularização fundiária que está em lei e que em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Janeiro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regulamentada pelo Governo de SC que busca escriturar mais de 330 mil lotes irregulares em lotes urbanos de Santa Catarina.</w:t>
            </w:r>
          </w:p>
          <w:p w:rsidR="006E6702" w:rsidRDefault="006E6702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Antonio afirmou que o CAU/SC está con</w:t>
            </w:r>
            <w:r w:rsidR="00EF71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correndo para compor o 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NCIDADE e se escolhido, o Arquiteto Gustavo que irá representar o CAU/SC e por isso ser de grande valia que o Arquiteto esteja na reunião da CATHIS para se ambientar com o debate referente a esse tema.</w:t>
            </w:r>
          </w:p>
          <w:p w:rsidR="006E6702" w:rsidRDefault="006E6702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Arquiteta Cibele observou que o PEI-ATHIS contemplou o que foi solicitado no TR, porém por ter quase 100 páginas ficou “muito pesado” para se chegar ao final da leitura e sugerido que a parte referente às Oficinas realizadas em dezembro de 2017 seja transferida para o Diagnóstico</w:t>
            </w:r>
            <w:r w:rsidR="009A25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no Plano contemple somente um resumo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6E6702" w:rsidRDefault="006E6702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Nesse momento, o PEI-ATHIS foi apresentado e a Arquiteta Karla apresentou cada ponto e observado pelo Assessor Antonio o formato e como foi pensado no Plano de Ação. O Arquiteto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Angelo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que os itens não fossem tão detalhados para não criar restrições, pois a prática que irá mostrar esses detalhes. Os itens debatidos foram:</w:t>
            </w:r>
          </w:p>
          <w:p w:rsidR="00657CD2" w:rsidRDefault="00657CD2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53E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57C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Objetivos específicos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decidiu-se por alterar a ordem dos objetivos: os itens 1 e 2 passam a ser 3 e 4; e, os itens 3 e 4 para 1 e 2.</w:t>
            </w:r>
          </w:p>
          <w:p w:rsidR="00F033A2" w:rsidRDefault="00F033A2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53E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 Ação A1, p. 74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solic</w:t>
            </w:r>
            <w:r w:rsidR="00EF71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itado que fossem revisados os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tores e que o CAU/SC não deve gastar recursos e sim instigar quem deva fazer.</w:t>
            </w:r>
          </w:p>
          <w:p w:rsidR="00657CD2" w:rsidRDefault="006E6702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53E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E670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Ação A2, p. 74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57C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57C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feita a sugestão pela Arquiteta Vania para que não seja o CAU/SC o patrocinador do curso e sim que se busque parcerias</w:t>
            </w:r>
            <w:r w:rsidR="00134D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junto a outras Entidades, um exemplo de Entidade apresentado foi a FECAM.</w:t>
            </w:r>
          </w:p>
          <w:p w:rsidR="00657CD2" w:rsidRDefault="00657CD2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53E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lastRenderedPageBreak/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57C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Ação A3, p. 75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decidiu-se por tirar os 3 primeiros itens e deixar somente a premiação.</w:t>
            </w:r>
          </w:p>
          <w:p w:rsidR="00CF6766" w:rsidRDefault="00657CD2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53E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4129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Ação A4, p</w:t>
            </w:r>
            <w:r w:rsidR="00841291" w:rsidRPr="0084129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. 7</w:t>
            </w:r>
            <w:r w:rsidRPr="0084129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12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12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afirmado pela Arquiteta Cibele que essa ação deve ser realizada no final do plano, pois necessita que se tenha toda uma estrutura pronta</w:t>
            </w:r>
            <w:r w:rsidR="00A742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Também foi sugerido por separar a parte referente à fiscalização e deixar somente a parte “</w:t>
            </w:r>
            <w:proofErr w:type="spellStart"/>
            <w:r w:rsidR="00A742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orientativa</w:t>
            </w:r>
            <w:proofErr w:type="spellEnd"/>
            <w:r w:rsidR="00A742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bem como não utilizar os fiscais na ação, para isso, tentar apoio junto aos CRAS ou assistentes sociais.</w:t>
            </w:r>
            <w:r w:rsidR="00CF67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654BFD" w:rsidRDefault="00654BFD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4BF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 Ação A5, p. 76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solicitou-se a alteração do texto da ação.</w:t>
            </w:r>
          </w:p>
          <w:p w:rsidR="00CF6766" w:rsidRPr="00CF6766" w:rsidRDefault="00CF6766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Objetivo estratégico B </w:t>
            </w:r>
            <w:r w:rsidRPr="00FD23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F67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alterar nomenclatura “autônomo” para profissionais liberais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suprimir os termos “pequenos e médios” e deixar somente escritórios e incluir escritórios que possam vir a atuar com ATHIS e não somente aqueles que já atuam.</w:t>
            </w:r>
          </w:p>
          <w:p w:rsidR="00FD2366" w:rsidRPr="00FD2366" w:rsidRDefault="00752C95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52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 Ação B</w:t>
            </w:r>
            <w:r w:rsidR="00FD236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1 </w:t>
            </w:r>
            <w:r w:rsidR="00FD2366" w:rsidRPr="00FD23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Alterar os atores mobilizados para Escritórios de Arquitetura e Urbanismo</w:t>
            </w:r>
          </w:p>
          <w:p w:rsidR="00654BFD" w:rsidRDefault="00FD2366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 Ação B</w:t>
            </w:r>
            <w:r w:rsidR="00752C95" w:rsidRPr="00752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752C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752C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colocar essa ação como parte do curso de formação bem como incluir na disciplina na graduação quando tratar de ATHIS.</w:t>
            </w:r>
            <w:r w:rsidR="007E2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Desta forma, decidiu-se por excluir a ação.</w:t>
            </w:r>
          </w:p>
          <w:p w:rsidR="007E2420" w:rsidRDefault="007E2420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 Objetivo estratégico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Incluir Tribunal de Contas</w:t>
            </w:r>
          </w:p>
          <w:p w:rsidR="007E2420" w:rsidRDefault="007E2420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2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 Ação C1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1361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sugerido por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simplificar os detalhamentos</w:t>
            </w:r>
          </w:p>
          <w:p w:rsidR="007E2420" w:rsidRDefault="007E2420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2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 Ação C2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1562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observado pela Cibele que a ideia inicial da CTEC/2017 não era trabalhar com esse tipo de ação. E, assim,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decidiu-se por excluir o item</w:t>
            </w:r>
          </w:p>
          <w:p w:rsidR="009F6254" w:rsidRPr="00A16949" w:rsidRDefault="007E2420" w:rsidP="006E670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2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 Ação D2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</w:t>
            </w:r>
            <w:r w:rsidR="001361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incluir ação D2 com foco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graduação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D8410E" w:rsidRDefault="00D8410E" w:rsidP="00D841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410E">
              <w:rPr>
                <w:rFonts w:ascii="Arial" w:hAnsi="Arial" w:cs="Arial"/>
                <w:b/>
                <w:sz w:val="22"/>
                <w:szCs w:val="22"/>
              </w:rPr>
              <w:t>Apresentação e análise conjunta do esboço de legislação para discussão e validação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F625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não discutido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D8410E" w:rsidRDefault="00D8410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410E">
              <w:rPr>
                <w:rFonts w:ascii="Arial" w:hAnsi="Arial" w:cs="Arial"/>
                <w:b/>
                <w:sz w:val="22"/>
                <w:szCs w:val="22"/>
              </w:rPr>
              <w:t>Definir prazo de elaboração das correções do diagnóstico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F625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não discutido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D8410E" w:rsidRDefault="00D8410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410E">
              <w:rPr>
                <w:rFonts w:ascii="Arial" w:hAnsi="Arial" w:cs="Arial"/>
                <w:b/>
                <w:sz w:val="22"/>
                <w:szCs w:val="22"/>
              </w:rPr>
              <w:t>Discussão sobre o formato das cartilhas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9F6254" w:rsidP="009F62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explicado pela Representante da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AH!,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 e Urb. Karla, sobre os termos da cartilha conforme TR e apresentado um novo formato cujo modelo é da Agenda 21.</w:t>
            </w:r>
          </w:p>
          <w:p w:rsidR="00675519" w:rsidRDefault="00675519" w:rsidP="009F62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Sugerido pela Arquiteta Fernanda que a AH!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faça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solicitação formal para alteração do formato da cartilha, visto que o Termo de Referência prevê outro modelo.</w:t>
            </w:r>
          </w:p>
          <w:p w:rsidR="009F6254" w:rsidRDefault="009F6254" w:rsidP="009F62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Sugerido por fazer em torno de 600 vias conforme modelo da Agenda 21 e o restante do orçamento para impressão dos folders destinados à comunidade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incluir QR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link do Plano para remeter ao conteúdo completo.</w:t>
            </w:r>
          </w:p>
          <w:p w:rsidR="009F6254" w:rsidRPr="00074F58" w:rsidRDefault="009F6254" w:rsidP="009F625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Foi decidido também por fazer a cartilha para 3 diferentes públicos-alvo: Profissionais, Poder Público e Comunidade.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D8410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D8410E" w:rsidRDefault="00D8410E" w:rsidP="00D841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410E">
              <w:rPr>
                <w:rFonts w:ascii="Arial" w:hAnsi="Arial" w:cs="Arial"/>
                <w:b/>
                <w:sz w:val="22"/>
                <w:szCs w:val="22"/>
              </w:rPr>
              <w:t>Ações paralelas que a CATHIS pode fazer antes mesmo da conclusão do planejamento estratégico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F625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Item não discutido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67551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67551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519" w:rsidRDefault="0067551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519" w:rsidRDefault="0067551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="006755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Comissão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675519" w:rsidRDefault="0067551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675519" w:rsidRPr="007B15A0" w:rsidTr="004E2296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519" w:rsidRDefault="00675519" w:rsidP="004E22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VIEIRA RODRIGUES</w:t>
            </w:r>
          </w:p>
          <w:p w:rsidR="00675519" w:rsidRPr="00675519" w:rsidRDefault="00675519" w:rsidP="004E229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6755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Assistente Administrativa</w:t>
            </w:r>
          </w:p>
          <w:p w:rsidR="00675519" w:rsidRPr="007B15A0" w:rsidRDefault="00675519" w:rsidP="004E22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7551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da Comissão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5519" w:rsidRPr="007B15A0" w:rsidRDefault="00675519" w:rsidP="004E22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5519" w:rsidRPr="00675519" w:rsidRDefault="00675519" w:rsidP="004E229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675519" w:rsidRPr="000940DA" w:rsidRDefault="0067551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675519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B4B99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DA4"/>
    <w:rsid w:val="00134F8E"/>
    <w:rsid w:val="001361E7"/>
    <w:rsid w:val="001413B8"/>
    <w:rsid w:val="00144276"/>
    <w:rsid w:val="00145D89"/>
    <w:rsid w:val="00150B42"/>
    <w:rsid w:val="0015322F"/>
    <w:rsid w:val="001536D6"/>
    <w:rsid w:val="001554CE"/>
    <w:rsid w:val="001562DA"/>
    <w:rsid w:val="00160902"/>
    <w:rsid w:val="00166E59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77959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10EE8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97B65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3E1B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053E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4BFD"/>
    <w:rsid w:val="00656F14"/>
    <w:rsid w:val="006576C1"/>
    <w:rsid w:val="00657CD2"/>
    <w:rsid w:val="00663558"/>
    <w:rsid w:val="006668E6"/>
    <w:rsid w:val="00671368"/>
    <w:rsid w:val="00671B78"/>
    <w:rsid w:val="006722E3"/>
    <w:rsid w:val="00672D03"/>
    <w:rsid w:val="00675519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3F09"/>
    <w:rsid w:val="006B4015"/>
    <w:rsid w:val="006B7A18"/>
    <w:rsid w:val="006C68ED"/>
    <w:rsid w:val="006D02FF"/>
    <w:rsid w:val="006D1902"/>
    <w:rsid w:val="006D224F"/>
    <w:rsid w:val="006D6C7D"/>
    <w:rsid w:val="006E4BFB"/>
    <w:rsid w:val="006E6702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2C95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2420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291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25AD"/>
    <w:rsid w:val="009A332D"/>
    <w:rsid w:val="009A7226"/>
    <w:rsid w:val="009A756E"/>
    <w:rsid w:val="009B2251"/>
    <w:rsid w:val="009B29CE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254"/>
    <w:rsid w:val="009F657B"/>
    <w:rsid w:val="00A0197A"/>
    <w:rsid w:val="00A03155"/>
    <w:rsid w:val="00A07631"/>
    <w:rsid w:val="00A119A5"/>
    <w:rsid w:val="00A11A0A"/>
    <w:rsid w:val="00A16949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4297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B5F0D"/>
    <w:rsid w:val="00AC4F93"/>
    <w:rsid w:val="00AD3757"/>
    <w:rsid w:val="00AD4B94"/>
    <w:rsid w:val="00AE07E2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13DE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6766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8410E"/>
    <w:rsid w:val="00D9358B"/>
    <w:rsid w:val="00D93DD0"/>
    <w:rsid w:val="00D94178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1401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EF7198"/>
    <w:rsid w:val="00EF7201"/>
    <w:rsid w:val="00F02BF9"/>
    <w:rsid w:val="00F033A2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4D3D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366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E5E2B9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4E8F-D4E6-4607-8C51-7362ED50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1132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Antonio Couto Nunes</cp:lastModifiedBy>
  <cp:revision>25</cp:revision>
  <cp:lastPrinted>2017-03-15T19:28:00Z</cp:lastPrinted>
  <dcterms:created xsi:type="dcterms:W3CDTF">2018-01-04T13:34:00Z</dcterms:created>
  <dcterms:modified xsi:type="dcterms:W3CDTF">2018-03-16T20:39:00Z</dcterms:modified>
</cp:coreProperties>
</file>