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D48C0">
        <w:rPr>
          <w:rFonts w:ascii="Arial" w:hAnsi="Arial" w:cs="Arial"/>
          <w:b/>
          <w:sz w:val="22"/>
          <w:szCs w:val="22"/>
        </w:rPr>
        <w:t>3ª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ED48C0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AF3875">
        <w:rPr>
          <w:rFonts w:ascii="Arial" w:hAnsi="Arial" w:cs="Arial"/>
          <w:b/>
          <w:sz w:val="22"/>
          <w:szCs w:val="22"/>
        </w:rPr>
        <w:t>CEP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20/03/2018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 – 17:35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D48C0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ED48C0" w:rsidP="00BD69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Carmen Eugência Alvarez Patr</w:t>
            </w:r>
            <w:r w:rsidR="00BD69D6">
              <w:rPr>
                <w:rFonts w:ascii="Arial" w:hAnsi="Arial" w:cs="Arial"/>
                <w:sz w:val="22"/>
                <w:szCs w:val="22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0267E6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ED48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ED48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Carolina Pereira Hagemann</w:t>
            </w:r>
          </w:p>
        </w:tc>
        <w:tc>
          <w:tcPr>
            <w:tcW w:w="2611" w:type="dxa"/>
            <w:vAlign w:val="center"/>
          </w:tcPr>
          <w:p w:rsidR="000267E6" w:rsidRPr="0097276A" w:rsidRDefault="000267E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0267E6" w:rsidRDefault="000473E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14h20min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0473E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17h35min</w:t>
            </w:r>
          </w:p>
        </w:tc>
      </w:tr>
      <w:tr w:rsidR="00ED48C0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D48C0" w:rsidRPr="00ED48C0" w:rsidRDefault="00ED48C0" w:rsidP="00ED48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Zanoni</w:t>
            </w:r>
            <w:proofErr w:type="spellEnd"/>
          </w:p>
        </w:tc>
        <w:tc>
          <w:tcPr>
            <w:tcW w:w="2611" w:type="dxa"/>
            <w:vAlign w:val="center"/>
          </w:tcPr>
          <w:p w:rsidR="00ED48C0" w:rsidRPr="0097276A" w:rsidRDefault="00ED48C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ED48C0" w:rsidRDefault="000473E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099" w:type="dxa"/>
            <w:tcBorders>
              <w:right w:val="nil"/>
            </w:tcBorders>
          </w:tcPr>
          <w:p w:rsidR="00ED48C0" w:rsidRDefault="000473E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17h35min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ED48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Mateus Szomorovszky</w:t>
            </w:r>
          </w:p>
        </w:tc>
        <w:tc>
          <w:tcPr>
            <w:tcW w:w="2611" w:type="dxa"/>
            <w:vAlign w:val="center"/>
          </w:tcPr>
          <w:p w:rsidR="000267E6" w:rsidRPr="0097276A" w:rsidRDefault="00ED48C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0267E6" w:rsidRDefault="000473E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13h00min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0473E5" w:rsidP="000473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17h35min</w:t>
            </w:r>
          </w:p>
        </w:tc>
      </w:tr>
      <w:tr w:rsidR="000267E6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267E6" w:rsidRDefault="00ED48C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Fabio Vieira da Silva</w:t>
            </w:r>
          </w:p>
        </w:tc>
        <w:tc>
          <w:tcPr>
            <w:tcW w:w="2611" w:type="dxa"/>
            <w:vAlign w:val="center"/>
          </w:tcPr>
          <w:p w:rsidR="000267E6" w:rsidRPr="0097276A" w:rsidRDefault="000267E6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0267E6" w:rsidRDefault="000473E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099" w:type="dxa"/>
            <w:tcBorders>
              <w:right w:val="nil"/>
            </w:tcBorders>
          </w:tcPr>
          <w:p w:rsidR="000267E6" w:rsidRDefault="000473E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17h35min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Tr="00F71DB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11401" w:rsidRDefault="00615715" w:rsidP="00F71DB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E63BA9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convidado a essa reunião, para esclarecimentos sobre o projeto Arquitetando o Seu Negócio, o Sr. Daniel</w:t>
            </w:r>
            <w:r w:rsidR="00041427">
              <w:rPr>
                <w:rFonts w:ascii="Arial" w:hAnsi="Arial" w:cs="Arial"/>
                <w:sz w:val="22"/>
                <w:szCs w:val="22"/>
              </w:rPr>
              <w:t xml:space="preserve"> Lucena</w:t>
            </w:r>
            <w:r>
              <w:rPr>
                <w:rFonts w:ascii="Arial" w:hAnsi="Arial" w:cs="Arial"/>
                <w:sz w:val="22"/>
                <w:szCs w:val="22"/>
              </w:rPr>
              <w:t xml:space="preserve"> do SEBRAE.</w:t>
            </w:r>
          </w:p>
        </w:tc>
      </w:tr>
      <w:tr w:rsidR="00615715" w:rsidTr="00F71DB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F71DB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F71D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AC61D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Silvio Hickel do Prado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AC61D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particulares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E01C56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074F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XX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4611C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</w:t>
            </w:r>
            <w:r w:rsidR="006C6B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Motta </w:t>
            </w:r>
            <w:proofErr w:type="spellStart"/>
            <w:r w:rsidR="006C6B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363DD" w:rsidP="002363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Adjunto da CEP apresentou os</w:t>
            </w:r>
            <w:r w:rsidR="00E63B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pontos debatidos na plenária e sugeriu</w:t>
            </w:r>
            <w:r w:rsidR="00836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fosse tratado, como assunto extra pauta, o Encaminhamento ao CAU/BR sobre os migrados do CREA que, no momento da migração, já estavam isentados</w:t>
            </w:r>
            <w:r w:rsidR="00F461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pagamento de anuidades por 35 anos de contribuição e como o CAU, pela legislação vigente, cobra as anuidades até 40 anos de contribuição está cobrando anuidades desses arquitetos. Solicitou também que fosse incluído como extra pauta Manual Concurso Público.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4611C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Fabio </w:t>
            </w:r>
            <w:r>
              <w:rPr>
                <w:rFonts w:ascii="Arial" w:hAnsi="Arial" w:cs="Arial"/>
                <w:sz w:val="22"/>
                <w:szCs w:val="22"/>
              </w:rPr>
              <w:t>Vieira da Silva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6F6B33" w:rsidRDefault="006F6B33" w:rsidP="003D35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sugeriu como ponto a ser tratado extra pauta debater sobre o uso da tabela de honorários e sobre atribuição de Arquiteto e Urbanista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trainee.</w:t>
            </w:r>
          </w:p>
        </w:tc>
      </w:tr>
    </w:tbl>
    <w:p w:rsidR="00F4611C" w:rsidRDefault="00F4611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D48C0" w:rsidP="00ED48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para 2018,</w:t>
            </w:r>
            <w:r w:rsid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Projetos propostos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353A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353A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353A" w:rsidP="00F36E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debatido nas reuniões anteriores e considerando que a CEP acordou em manter o Projeto Arquitetando seu Negócio</w:t>
            </w:r>
            <w:r w:rsidR="00915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</w:t>
            </w:r>
            <w:r w:rsidR="00915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realizado pela gestão anterior, foi convidado a participar da reunião, o Sr. Daniel </w:t>
            </w:r>
            <w:r w:rsidR="001F4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Lucena</w:t>
            </w:r>
            <w:r w:rsidR="00915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SEBRAE que partici</w:t>
            </w:r>
            <w:r w:rsidR="00F36E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pou</w:t>
            </w:r>
            <w:r w:rsidR="009153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projeto Arquitetando seu Negócio</w:t>
            </w:r>
            <w:r w:rsidR="00645D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36E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nas anteriores edições, </w:t>
            </w:r>
            <w:r w:rsidR="00645D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qual fez uma breve apresentação sobre o funcionamento do projeto para nova gestão. Depois da apresentação foi aberto para perguntas e dúvidas sobre o que foi apresentado. A gerente Técnica, Franciani, fez breve apresentação sobre o projeto </w:t>
            </w:r>
            <w:r w:rsidR="006F2F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645D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Itinerante</w:t>
            </w:r>
            <w:r w:rsidR="006F2F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645D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qual teve boa aceitação por parte da Comissão para ser efetuado em conjunto com as demais comissões e setores</w:t>
            </w:r>
            <w:r w:rsidR="003F3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CAU/SC.</w:t>
            </w:r>
            <w:r w:rsidR="0011042B">
              <w:t xml:space="preserve"> </w:t>
            </w:r>
            <w:r w:rsidR="0011042B" w:rsidRP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sugerido também que o projeto fosse realizado em áreas de grande circulação de pessoas como </w:t>
            </w:r>
            <w:r w:rsid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Shoppings Centers, por exemplo. </w:t>
            </w:r>
            <w:r w:rsidR="00C45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relação a Consulta efetuada pela CEP/SC à Assessoria Juridica do CAU/SC sobre a possibilidade de o CAU/SC criar parcerias com entidades sem f</w:t>
            </w:r>
            <w:r w:rsid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 lucrativos com o intuito de</w:t>
            </w:r>
            <w:r w:rsidR="00C45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realizar o projeto “Arquitetando seu Negócio”, foi analisado o parecer favorável</w:t>
            </w:r>
            <w:r w:rsidR="005830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esta possibilidade</w:t>
            </w:r>
            <w:r w:rsidR="00C45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5830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considerando-se as exigências legais impostas tanto pela Lei nº 13.019/2014 quanto pelo Decreto nº 8.726/2016</w:t>
            </w:r>
            <w:r w:rsid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</w:t>
            </w:r>
            <w:r w:rsidR="0011042B" w:rsidRP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 especial </w:t>
            </w:r>
            <w:r w:rsid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</w:t>
            </w:r>
            <w:r w:rsidR="00CA1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assunto já</w:t>
            </w:r>
            <w:r w:rsidR="00CA1A2F" w:rsidRP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abordado em Plenária e no Conselho Diret</w:t>
            </w:r>
            <w:r w:rsidR="00CA1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or, referente a dar início</w:t>
            </w:r>
            <w:r w:rsid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A1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11042B" w:rsidRP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discussão online dos pr</w:t>
            </w:r>
            <w:r w:rsid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ojetos para otimizar o tempo das </w:t>
            </w:r>
            <w:r w:rsidR="0011042B" w:rsidRP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reuniões</w:t>
            </w:r>
            <w:r w:rsidR="00CA1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11042B" w:rsidRP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já est</w:t>
            </w:r>
            <w:r w:rsid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 </w:t>
            </w:r>
            <w:r w:rsidR="00CA1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acontecendo</w:t>
            </w:r>
            <w:r w:rsidR="0011042B" w:rsidRP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nas outras comissões</w:t>
            </w:r>
            <w:r w:rsidR="00CA1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104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A1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relação ao Projeto Arquitetando seu Negócio, foram definidas preliminarmente a</w:t>
            </w:r>
            <w:r w:rsidR="006F2F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cidades</w:t>
            </w:r>
            <w:r w:rsidR="00CA1A2F">
              <w:t xml:space="preserve"> </w:t>
            </w:r>
            <w:r w:rsidR="00CA1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CA1A2F" w:rsidRPr="00CA1A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Itajaí, nos dias 19,20 e 21 de julho, Joinville, nos dias 20,21 e 22 de setembro e Florianópolis, nos dias 25,26 e 27 de outubro</w:t>
            </w:r>
            <w:r w:rsidR="006F2F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serem efetuados os cursos e palestras</w:t>
            </w:r>
            <w:r w:rsidR="008038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D48C0" w:rsidP="00ED48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dos processos de interrupção de registro – 10 minutos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E432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E432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 da CEP Luiza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DE432C" w:rsidP="00DE43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CEP deliberou por d</w:t>
            </w:r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eferir as interrupções de registro dos profissionais Aline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Mesadri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Jaraceski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Ana Carolina Silva Espindola, Angélica Aparecida Pontes, Carla Cristina Almeida, Daniele Vanessa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Lunelli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Dayane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Siewerdt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Duanny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Morais Macedo, Eduardo Wagner Rogerio, Fabiana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Schwab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Welchen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Fábio Souza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Martinello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Felipe Valter Becker da Rocha, Glaucia Regina Ramos Müller, Jorge Pereira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Oda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José Adriano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Peretti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Campos,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Kristy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Cardoso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Fabre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Larissa Espíndola Machado, Luana Carolina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Piske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Luisa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Almeida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Inezzi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Gomes, Manuela Marques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Lalane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Nappi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Maria Eduarda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Iesbich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Arruda, Miguel Correia de Moraes,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Cardoso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Dussioni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Pedro Paulo Nunes Junior, Stephanie Camila </w:t>
            </w:r>
            <w:proofErr w:type="spellStart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Gilli</w:t>
            </w:r>
            <w:proofErr w:type="spellEnd"/>
            <w:r w:rsidRPr="00DE4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Vanessa Cristina Cavalheiro.</w:t>
            </w:r>
          </w:p>
          <w:p w:rsidR="00BD1853" w:rsidRDefault="00BD1853" w:rsidP="00DE43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55679" w:rsidRPr="00074F58" w:rsidRDefault="00855679" w:rsidP="00DE432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Deliberou por i</w:t>
            </w:r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ndeferir as interrupções de registro da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Arianne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Macedo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Kudo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Clesio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Ramos, Daniele Fabiane Sasse dos Santos, Evandro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Tadashi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Moriya, Francine de Azevedo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Ramil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Geraldine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Maria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Hreisemnou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Oliveira,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Laryssa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Tarachucky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Leticia Maria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Rech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Marianne Castanha </w:t>
            </w:r>
            <w:proofErr w:type="spellStart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Cristiani</w:t>
            </w:r>
            <w:proofErr w:type="spellEnd"/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Sara Costa De Souza e Tiago de Oliveira Florisbal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por e</w:t>
            </w:r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</w:t>
            </w:r>
            <w:r w:rsidR="00BD18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deliberações</w:t>
            </w:r>
            <w:r w:rsidRPr="00855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conhecimento da Presidência do CAU/SC.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D48C0" w:rsidP="00ED48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quanto a necessidade de convocação de Reuniões extra pauta ou no caso, prolongadas em razão das demandas</w:t>
            </w:r>
            <w:r w:rsid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 serem analisadas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5567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D185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D1853" w:rsidP="00BD18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D18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que em razão da demanda, as próximas reuniões poderão ser estendidas, mantendo-se o calendário previsto com início as 8h30min até 12h30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min e de 13h30min até 17h30min e e</w:t>
            </w:r>
            <w:r w:rsidRPr="00BD18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D48C0" w:rsidP="00ED48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Plano preliminar de fiscalização do CAU/SC – 30 minutos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332B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332B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de Fiscalização Fernando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332BD" w:rsidP="00C332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de fiscalização fez breve apresentação sobre o Plano de Fiscalização informando as principais demandas e os principais campos de atuação da fiscalização e no fim da apresentação </w:t>
            </w:r>
            <w:r w:rsidR="005041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apresentou os principais objetivos e ações utilizando a ferramenta do Método </w:t>
            </w:r>
            <w:proofErr w:type="spellStart"/>
            <w:r w:rsidR="005041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Canvas</w:t>
            </w:r>
            <w:proofErr w:type="spellEnd"/>
            <w:r w:rsidR="005041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D48C0" w:rsidP="00ED48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homologação das Orientações aos Profissionais participantes de Mostras de Arquitetura no estado de Santa Catarina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332B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041D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CEP Carmen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041D8" w:rsidP="00C332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a</w:t>
            </w:r>
            <w:r w:rsidRPr="005041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as alterações efetuadas ao documento original das Orientações aos Profissionais participantes de Mostras de Arquitetura no estado de Santa Catarina, homologado pela Comissão de Ensino e Exercício Profissional – CEEP na reunião ordinária de 19/03/2015 com a finalidade de adequá-lo à legislação vigente;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Pr="005041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para CEP/BR um ofício solicitando esclarecimentos sobre a abrangência da atividade técni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 da Arquitetura de Interiores e e</w:t>
            </w:r>
            <w:r w:rsidRPr="005041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 deliberação à Presidência do CAU/SC para providências cabíveis.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041D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D48C0" w:rsidP="00ED48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nº 663890/2018: Orientação no ambiente profissiona</w:t>
            </w:r>
            <w:r w:rsid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 referente a CAT-A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041D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041D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041D8" w:rsidP="005041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assunto será novamente pautado na próxima reunião.</w:t>
            </w:r>
          </w:p>
        </w:tc>
      </w:tr>
    </w:tbl>
    <w:p w:rsidR="00074F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</w:t>
            </w:r>
          </w:p>
          <w:p w:rsidR="005041D8" w:rsidRPr="00583082" w:rsidRDefault="005041D8" w:rsidP="00583082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30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 – 5 processos para deliberação</w:t>
            </w:r>
          </w:p>
          <w:p w:rsidR="005041D8" w:rsidRPr="005041D8" w:rsidRDefault="00583082" w:rsidP="005041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      b. </w:t>
            </w:r>
            <w:r w:rsidR="005041D8" w:rsidRPr="005041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nº 645803 - Questionamento da GERTEC referente a atribuição dos Arquitetos e Urbanistas para Projeto e Execução de “</w:t>
            </w:r>
            <w:proofErr w:type="spellStart"/>
            <w:r w:rsidR="005041D8" w:rsidRPr="005041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Enrocamento</w:t>
            </w:r>
            <w:proofErr w:type="spellEnd"/>
            <w:r w:rsidR="005041D8" w:rsidRPr="005041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”, “macrodrenagem”, “dragagem” e “desassoreamento de rio”</w:t>
            </w:r>
          </w:p>
          <w:p w:rsidR="005041D8" w:rsidRPr="00074F58" w:rsidRDefault="00583082" w:rsidP="005041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</w:t>
            </w:r>
            <w:r w:rsidR="005041D8" w:rsidRPr="005041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c. Analise de Recurso – Processos de Interrupção de registro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Gerfisc; Gertec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E52EB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 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F64" w:rsidRDefault="000E52EB" w:rsidP="00C704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processos de fiscalização serão tratados na próxima reunião.  </w:t>
            </w:r>
          </w:p>
          <w:p w:rsidR="00694F64" w:rsidRDefault="00694F64" w:rsidP="00C704C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704CE" w:rsidRDefault="000E52EB" w:rsidP="00C704CE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Protocolo nº 645803/2017 foi relatado pelo Conselheiro </w:t>
            </w:r>
            <w:r>
              <w:rPr>
                <w:rFonts w:ascii="Arial" w:hAnsi="Arial" w:cs="Arial"/>
                <w:sz w:val="22"/>
                <w:szCs w:val="22"/>
              </w:rPr>
              <w:t xml:space="preserve">Fabio Vieira da Silva o qual concluiu, depois de analisar o parecer da Gerência Técnica, que se encontra respaldo para afirmar que Arquitetos e Urbanistas possuem atribuição para </w:t>
            </w:r>
            <w:r w:rsidR="00C704CE">
              <w:rPr>
                <w:rFonts w:ascii="Arial" w:hAnsi="Arial" w:cs="Arial"/>
                <w:sz w:val="22"/>
                <w:szCs w:val="22"/>
              </w:rPr>
              <w:t xml:space="preserve">Projeto e Execução de </w:t>
            </w:r>
            <w:proofErr w:type="spellStart"/>
            <w:r w:rsidR="00C704CE">
              <w:rPr>
                <w:rFonts w:ascii="Arial" w:hAnsi="Arial" w:cs="Arial"/>
                <w:sz w:val="22"/>
                <w:szCs w:val="22"/>
              </w:rPr>
              <w:t>Enrocamento</w:t>
            </w:r>
            <w:proofErr w:type="spellEnd"/>
            <w:r w:rsidR="00C704CE">
              <w:rPr>
                <w:rFonts w:ascii="Arial" w:hAnsi="Arial" w:cs="Arial"/>
                <w:sz w:val="22"/>
                <w:szCs w:val="22"/>
              </w:rPr>
              <w:t xml:space="preserve">, Macrodrenagem, Dragagem e Desassoreamento de rio. A CEP, a respeito desse protocolo deliberou por </w:t>
            </w:r>
            <w:r w:rsidR="00C704CE" w:rsidRPr="00C704CE">
              <w:rPr>
                <w:rFonts w:ascii="Arial" w:hAnsi="Arial" w:cs="Arial"/>
                <w:sz w:val="22"/>
                <w:szCs w:val="22"/>
              </w:rPr>
              <w:t xml:space="preserve">acompanhar o voto do relator do processo, favorável a atribuição dos Arquitetos e Urbanistas para desenvolvimento de projetos e execuções de </w:t>
            </w:r>
            <w:proofErr w:type="spellStart"/>
            <w:r w:rsidR="00C704CE" w:rsidRPr="00C704CE">
              <w:rPr>
                <w:rFonts w:ascii="Arial" w:hAnsi="Arial" w:cs="Arial"/>
                <w:sz w:val="22"/>
                <w:szCs w:val="22"/>
              </w:rPr>
              <w:t>enrocamento</w:t>
            </w:r>
            <w:proofErr w:type="spellEnd"/>
            <w:r w:rsidR="00C704CE" w:rsidRPr="00C704CE">
              <w:rPr>
                <w:rFonts w:ascii="Arial" w:hAnsi="Arial" w:cs="Arial"/>
                <w:sz w:val="22"/>
                <w:szCs w:val="22"/>
              </w:rPr>
              <w:t>, macrodrenagem, dragagem e desassoreamento de rio, devendo o CAU/SC aplicar tal entendimento até manifestação da CEP/BR;</w:t>
            </w:r>
          </w:p>
          <w:p w:rsidR="00C704CE" w:rsidRPr="00C704CE" w:rsidRDefault="00C704CE" w:rsidP="00C7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4CE">
              <w:rPr>
                <w:rFonts w:ascii="Arial" w:hAnsi="Arial" w:cs="Arial"/>
                <w:sz w:val="22"/>
                <w:szCs w:val="22"/>
              </w:rPr>
              <w:t xml:space="preserve">Orientar que projeto e execução de </w:t>
            </w:r>
            <w:proofErr w:type="spellStart"/>
            <w:r w:rsidRPr="00C704CE">
              <w:rPr>
                <w:rFonts w:ascii="Arial" w:hAnsi="Arial" w:cs="Arial"/>
                <w:sz w:val="22"/>
                <w:szCs w:val="22"/>
              </w:rPr>
              <w:t>enrocamento</w:t>
            </w:r>
            <w:proofErr w:type="spellEnd"/>
            <w:r w:rsidRPr="00C704CE">
              <w:rPr>
                <w:rFonts w:ascii="Arial" w:hAnsi="Arial" w:cs="Arial"/>
                <w:sz w:val="22"/>
                <w:szCs w:val="22"/>
              </w:rPr>
              <w:t xml:space="preserve"> devem ser registrados nos itens ‘1.2.6. Projeto de outras estruturas’ e ‘2.2.6. Execução de outras estruturas’, sendo que projeto e execução de macrodrenagem, dragagem e desassoreamento de rio devem ser registrados em ‘1.9.1. Projeto de movimentação de terra, drenagem e pavimentação’ e ‘2.8.1. Execução de terraplenagem, drenagem e pavimentação’ da Resolução nº 21 do CAU/BR.</w:t>
            </w:r>
          </w:p>
          <w:p w:rsidR="00ED48C0" w:rsidRDefault="00C704CE" w:rsidP="00C7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4CE">
              <w:rPr>
                <w:rFonts w:ascii="Arial" w:hAnsi="Arial" w:cs="Arial"/>
                <w:sz w:val="22"/>
                <w:szCs w:val="22"/>
              </w:rPr>
              <w:t>Enviar para conhecimento da CEP/BR o entendimento do 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 e e</w:t>
            </w:r>
            <w:r w:rsidRPr="00C704CE">
              <w:rPr>
                <w:rFonts w:ascii="Arial" w:hAnsi="Arial" w:cs="Arial"/>
                <w:sz w:val="22"/>
                <w:szCs w:val="22"/>
              </w:rPr>
              <w:t>ncaminhar esta deliberação à Presidência do CAU/SC para providências cabíveis.</w:t>
            </w:r>
          </w:p>
          <w:p w:rsidR="00694F64" w:rsidRDefault="00694F64" w:rsidP="00C7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4F64" w:rsidRPr="00C704CE" w:rsidRDefault="00694F64" w:rsidP="00C704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análise dos recursos de Interrupção de Registro serão novamente pautados na próxima reunião.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Default="00AE76F7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Designação de relator</w:t>
            </w:r>
          </w:p>
          <w:p w:rsidR="000E52EB" w:rsidRPr="000E52EB" w:rsidRDefault="000E52EB" w:rsidP="000E52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</w:t>
            </w:r>
            <w:r w:rsidRPr="000E5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a. Analise de Recurso – Processos de Interrupção de registro </w:t>
            </w:r>
          </w:p>
          <w:p w:rsidR="000E52EB" w:rsidRPr="00074F58" w:rsidRDefault="000E52EB" w:rsidP="000E52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</w:t>
            </w:r>
            <w:r w:rsidRPr="000E5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b. Processos de fiscalização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694F64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Gertec; Gerfisc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F64" w:rsidRDefault="00694F64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processos de Interrupção de registro profissional serão novamente pautados na próxima reunião.</w:t>
            </w:r>
          </w:p>
          <w:p w:rsidR="007218AA" w:rsidRPr="00074F58" w:rsidRDefault="007218AA" w:rsidP="007218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processo de fiscalização nº 1000062974/2018 foi designado</w:t>
            </w:r>
            <w:r w:rsidR="0033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como relator,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Coordenador Adjunto </w:t>
            </w:r>
            <w:r w:rsidR="003333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 w:rsidR="003333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Zanoni</w:t>
            </w:r>
            <w:proofErr w:type="spellEnd"/>
            <w:r w:rsidR="003333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ED48C0" w:rsidP="00AE7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E76F7" w:rsidP="00AE76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de proposta de procedimento para análise de processos com solic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itação de urgência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AE76F7" w:rsidRDefault="00AE76F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76F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Protocolo nº 645759/2018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F1CF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F1CF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próxima reunião.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E76F7" w:rsidP="00AE76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Elaboração de manual </w:t>
            </w:r>
            <w:proofErr w:type="spellStart"/>
            <w:r w:rsidRP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orientativo</w:t>
            </w:r>
            <w:proofErr w:type="spellEnd"/>
            <w:r w:rsidRP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para órgãos públicos sobre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licitações de obras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AE76F7" w:rsidRDefault="00AE76F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76F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Protocolo nº 645779/2018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F1CF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F1CF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próxima reunião.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E76F7" w:rsidP="00AE76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da solicitação de adequação dos atestados emitidos pela Caixa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F1CF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F1CF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F1CF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próxima reunião.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E76F7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do procedimento para cálculo de multas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0F1CF7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2363DD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2363DD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próxima reunião.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BF25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E76F7" w:rsidP="00AE76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7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para incluir a Atividade de compatibilização de projetos na plataforma BIM como atividade técnica dos Arquitetos e urbanistas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2363DD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2363DD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8C0" w:rsidRPr="00074F58" w:rsidTr="00BF25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BF25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2363DD" w:rsidP="00BF25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novamente pautado na próxima reunião.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363DD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 ao CAU/BR </w:t>
            </w:r>
            <w:r w:rsidR="001A7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sobre os migrados do CREA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A7EF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A7EFC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EFC" w:rsidRPr="00074F58" w:rsidRDefault="001A7EFC" w:rsidP="001A7E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FC" w:rsidRPr="00ED48C0" w:rsidRDefault="001A7EFC" w:rsidP="001A7EF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Fernando Motta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Zanoni</w:t>
            </w:r>
            <w:proofErr w:type="spellEnd"/>
          </w:p>
        </w:tc>
      </w:tr>
      <w:tr w:rsidR="001A7EFC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EFC" w:rsidRPr="00074F58" w:rsidRDefault="001A7EFC" w:rsidP="001A7E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EFC" w:rsidRPr="00074F58" w:rsidRDefault="001A7EFC" w:rsidP="001A7E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tratado na próxima reunião.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1A7EFC" w:rsidRDefault="001A7EFC" w:rsidP="000F47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Tabela de Honorários e Atribuições de Arquiteto e Urbanista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trainee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A7EF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A7EF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Fabio Vieira da Silva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A7EF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tratado na próxima reunião.</w:t>
            </w:r>
          </w:p>
        </w:tc>
      </w:tr>
    </w:tbl>
    <w:p w:rsidR="00BD49D9" w:rsidRPr="00E01C56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F01CBB" w:rsidRPr="00E01C56" w:rsidRDefault="00F01CBB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01CBB" w:rsidRPr="007B15A0" w:rsidTr="00E5386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B" w:rsidRPr="007B15A0" w:rsidRDefault="00F01CBB" w:rsidP="00E538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CAROLINA P. 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HAGEMANN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CBB" w:rsidRPr="007B15A0" w:rsidRDefault="00F01CBB" w:rsidP="00E538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B" w:rsidRPr="007B15A0" w:rsidRDefault="007218AA" w:rsidP="007218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 FERNANDO MOTTA ZANONI</w:t>
            </w: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  <w:r w:rsidR="00F01C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F01C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</w:p>
        </w:tc>
      </w:tr>
    </w:tbl>
    <w:p w:rsidR="00F01CBB" w:rsidRPr="00E01C56" w:rsidRDefault="00F01CBB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F01CBB" w:rsidRDefault="00F01CBB" w:rsidP="00F01CB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01CBB" w:rsidRPr="007B15A0" w:rsidTr="00E5386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B" w:rsidRPr="00147E6B" w:rsidRDefault="00F01CBB" w:rsidP="00E53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FABIO VIEIRA DA SILVA</w:t>
            </w:r>
          </w:p>
          <w:p w:rsidR="00F01CBB" w:rsidRPr="007B15A0" w:rsidRDefault="007218AA" w:rsidP="00E538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</w:t>
            </w:r>
            <w:r w:rsidR="00F01C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CBB" w:rsidRPr="007B15A0" w:rsidRDefault="00F01CBB" w:rsidP="00E538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B" w:rsidRPr="00147E6B" w:rsidRDefault="00F01CBB" w:rsidP="00E538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56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MATEUS SZOMOROVSZKY</w:t>
            </w:r>
            <w:r w:rsidRPr="00147E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  <w:p w:rsidR="00F01CBB" w:rsidRDefault="00F01CBB" w:rsidP="00E538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  <w:p w:rsidR="00E01C56" w:rsidRPr="00E01C56" w:rsidRDefault="00E01C56" w:rsidP="00E538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E01C56" w:rsidRPr="00E01C56" w:rsidRDefault="00E01C56" w:rsidP="00E538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E01C56" w:rsidRPr="00147E6B" w:rsidRDefault="00E01C56" w:rsidP="00E538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F01CBB" w:rsidRPr="007B15A0" w:rsidTr="00E5386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B" w:rsidRPr="00147E6B" w:rsidRDefault="00F01CBB" w:rsidP="00E53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147E6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CBB" w:rsidRPr="007B15A0" w:rsidRDefault="00F01CBB" w:rsidP="00E538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B" w:rsidRPr="00147E6B" w:rsidRDefault="00F01CBB" w:rsidP="00E53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CARMEN EUGENIA A. PATRÓN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FF263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  <w:tr w:rsidR="00F01CBB" w:rsidRPr="007B15A0" w:rsidTr="00E5386F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CBB" w:rsidRPr="00147E6B" w:rsidRDefault="00F01CBB" w:rsidP="00E538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1CBB" w:rsidRPr="007B15A0" w:rsidRDefault="00F01CBB" w:rsidP="00E538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CBB" w:rsidRPr="00147E6B" w:rsidRDefault="00F01CBB" w:rsidP="00E538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E01C5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7B15A0" w:rsidRPr="000940DA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92" w:rsidRDefault="00B14F92">
      <w:r>
        <w:separator/>
      </w:r>
    </w:p>
  </w:endnote>
  <w:endnote w:type="continuationSeparator" w:id="0">
    <w:p w:rsidR="00B14F92" w:rsidRDefault="00B1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92" w:rsidRDefault="00B14F92">
      <w:r>
        <w:separator/>
      </w:r>
    </w:p>
  </w:footnote>
  <w:footnote w:type="continuationSeparator" w:id="0">
    <w:p w:rsidR="00B14F92" w:rsidRDefault="00B1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2"/>
  </w:num>
  <w:num w:numId="5">
    <w:abstractNumId w:val="17"/>
  </w:num>
  <w:num w:numId="6">
    <w:abstractNumId w:val="23"/>
  </w:num>
  <w:num w:numId="7">
    <w:abstractNumId w:val="8"/>
  </w:num>
  <w:num w:numId="8">
    <w:abstractNumId w:val="14"/>
  </w:num>
  <w:num w:numId="9">
    <w:abstractNumId w:val="25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8"/>
  </w:num>
  <w:num w:numId="24">
    <w:abstractNumId w:val="15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267E6"/>
    <w:rsid w:val="00031880"/>
    <w:rsid w:val="00036917"/>
    <w:rsid w:val="00040616"/>
    <w:rsid w:val="00041427"/>
    <w:rsid w:val="00046954"/>
    <w:rsid w:val="000473E5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52EB"/>
    <w:rsid w:val="000F1CF7"/>
    <w:rsid w:val="0011020F"/>
    <w:rsid w:val="0011042B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A7EF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816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3DD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5DD"/>
    <w:rsid w:val="00323934"/>
    <w:rsid w:val="00327F2E"/>
    <w:rsid w:val="00333341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D353A"/>
    <w:rsid w:val="003E12F9"/>
    <w:rsid w:val="003E3696"/>
    <w:rsid w:val="003E5E32"/>
    <w:rsid w:val="003F2BFA"/>
    <w:rsid w:val="003F3507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06D7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41D8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082"/>
    <w:rsid w:val="005830CA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571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4F64"/>
    <w:rsid w:val="00695803"/>
    <w:rsid w:val="00695F65"/>
    <w:rsid w:val="006A03DA"/>
    <w:rsid w:val="006A2AD9"/>
    <w:rsid w:val="006A752F"/>
    <w:rsid w:val="006A7980"/>
    <w:rsid w:val="006B3E0F"/>
    <w:rsid w:val="006B7A18"/>
    <w:rsid w:val="006C68ED"/>
    <w:rsid w:val="006C6B69"/>
    <w:rsid w:val="006D02FF"/>
    <w:rsid w:val="006D1902"/>
    <w:rsid w:val="006D224F"/>
    <w:rsid w:val="006D6C7D"/>
    <w:rsid w:val="006E4BFB"/>
    <w:rsid w:val="006E6DBF"/>
    <w:rsid w:val="006F128D"/>
    <w:rsid w:val="006F157A"/>
    <w:rsid w:val="006F2F0E"/>
    <w:rsid w:val="006F6B33"/>
    <w:rsid w:val="00700ECC"/>
    <w:rsid w:val="0070571B"/>
    <w:rsid w:val="00705E6D"/>
    <w:rsid w:val="00715F7B"/>
    <w:rsid w:val="00715FE9"/>
    <w:rsid w:val="007165B8"/>
    <w:rsid w:val="00720CA4"/>
    <w:rsid w:val="007218AA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0E24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669F"/>
    <w:rsid w:val="00840078"/>
    <w:rsid w:val="00841DB6"/>
    <w:rsid w:val="008429A0"/>
    <w:rsid w:val="00843DE7"/>
    <w:rsid w:val="008448DF"/>
    <w:rsid w:val="008478D0"/>
    <w:rsid w:val="0085567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1537A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E737C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C61DA"/>
    <w:rsid w:val="00AD3757"/>
    <w:rsid w:val="00AD4B94"/>
    <w:rsid w:val="00AE30FB"/>
    <w:rsid w:val="00AE4C31"/>
    <w:rsid w:val="00AE5007"/>
    <w:rsid w:val="00AE59C3"/>
    <w:rsid w:val="00AE76F7"/>
    <w:rsid w:val="00AF3875"/>
    <w:rsid w:val="00B01C53"/>
    <w:rsid w:val="00B06C48"/>
    <w:rsid w:val="00B14F92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2BD"/>
    <w:rsid w:val="00C33F46"/>
    <w:rsid w:val="00C37566"/>
    <w:rsid w:val="00C418A4"/>
    <w:rsid w:val="00C41F87"/>
    <w:rsid w:val="00C4572B"/>
    <w:rsid w:val="00C46AA8"/>
    <w:rsid w:val="00C50AE5"/>
    <w:rsid w:val="00C50DDC"/>
    <w:rsid w:val="00C54702"/>
    <w:rsid w:val="00C56F2D"/>
    <w:rsid w:val="00C67B26"/>
    <w:rsid w:val="00C704CE"/>
    <w:rsid w:val="00C72B88"/>
    <w:rsid w:val="00C72CF8"/>
    <w:rsid w:val="00C75E6A"/>
    <w:rsid w:val="00C808DF"/>
    <w:rsid w:val="00CA1A2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27EF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32C"/>
    <w:rsid w:val="00DE48D4"/>
    <w:rsid w:val="00DE4CAB"/>
    <w:rsid w:val="00DE6427"/>
    <w:rsid w:val="00DF125D"/>
    <w:rsid w:val="00DF5D73"/>
    <w:rsid w:val="00E0058F"/>
    <w:rsid w:val="00E01C56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BA9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D48C0"/>
    <w:rsid w:val="00EE20B7"/>
    <w:rsid w:val="00EE30AC"/>
    <w:rsid w:val="00EE3521"/>
    <w:rsid w:val="00EF0697"/>
    <w:rsid w:val="00EF6A93"/>
    <w:rsid w:val="00F01CBB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6ECD"/>
    <w:rsid w:val="00F4611C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4113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3C82-09E3-44EC-9AF2-88453F8A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1581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Gabriela Vieira Rodrigues</cp:lastModifiedBy>
  <cp:revision>5</cp:revision>
  <cp:lastPrinted>2018-04-13T20:39:00Z</cp:lastPrinted>
  <dcterms:created xsi:type="dcterms:W3CDTF">2018-04-02T12:57:00Z</dcterms:created>
  <dcterms:modified xsi:type="dcterms:W3CDTF">2018-04-13T20:48:00Z</dcterms:modified>
</cp:coreProperties>
</file>