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460528">
        <w:rPr>
          <w:rFonts w:ascii="Arial" w:hAnsi="Arial" w:cs="Arial"/>
          <w:b/>
          <w:sz w:val="22"/>
          <w:szCs w:val="22"/>
        </w:rPr>
        <w:t>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460528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0199C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97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F16F14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10h00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670AFF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7332F2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7332F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B. </w:t>
            </w:r>
            <w:proofErr w:type="spellStart"/>
            <w:r w:rsidRPr="007332F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F16F14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670AFF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7332F2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048A">
              <w:rPr>
                <w:rFonts w:ascii="Arial" w:eastAsia="MS Mincho" w:hAnsi="Arial" w:cs="Arial"/>
                <w:sz w:val="22"/>
                <w:szCs w:val="22"/>
              </w:rPr>
              <w:t xml:space="preserve">Mateus </w:t>
            </w:r>
            <w:proofErr w:type="spellStart"/>
            <w:r w:rsidRPr="00F2048A">
              <w:rPr>
                <w:rFonts w:ascii="Arial" w:eastAsia="MS Mincho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670AFF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</w:t>
            </w:r>
            <w:r w:rsidR="007332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não poderá estar presente na 6</w:t>
            </w:r>
            <w:r w:rsidRPr="008E07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 por motivos pessoais.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FC1B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  <w:r w:rsidR="00FC1B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3</w:t>
            </w:r>
            <w:r w:rsidR="00F66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Extraordinária.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383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  <w:r w:rsidR="00571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D442AB" w:rsidP="009E5D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</w:t>
            </w:r>
            <w:r w:rsidR="0038357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Geral Alcenira Vanderlinde relata que, no dia anterior</w:t>
            </w:r>
            <w:r w:rsidR="0092219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participou do 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de Planejamento</w:t>
            </w:r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Brasília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momento em que foram ranqueadas as ações que devem </w:t>
            </w:r>
            <w:r w:rsidR="0038357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efetivamente</w:t>
            </w:r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serem</w:t>
            </w:r>
            <w:r w:rsidR="0038357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desenvolvidas</w:t>
            </w:r>
            <w:r w:rsidR="0038357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27 estados, e a partir dessas ações definid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346CAA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ranqueadas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será pensado em indicadores</w:t>
            </w:r>
            <w:r w:rsidR="0038357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126F5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Há ainda </w:t>
            </w:r>
            <w:r w:rsidR="00346CAA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necessidade da r</w:t>
            </w:r>
            <w:r w:rsidR="002C2A72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gramação orçamentária</w:t>
            </w:r>
            <w:r w:rsidR="002C2A72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porém as diretrizes devem ser aprovadas pelo plenário do CAU/BR que ocorrerá no dia posterior a COAF</w:t>
            </w:r>
            <w:r w:rsidR="00D233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2C2A72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</w:t>
            </w:r>
            <w:r w:rsidR="003B22A3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Administrativo e Financeiro Filipe Lima </w:t>
            </w:r>
            <w:proofErr w:type="spellStart"/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2C2A72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 que 3 pautas esta</w:t>
            </w:r>
            <w:r w:rsidR="0054534F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rão comprometidas pois dependem</w:t>
            </w:r>
            <w:r w:rsidR="002C2A72" w:rsidRPr="00346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diretrizes de ação da reprogramação orçamentária.</w:t>
            </w:r>
            <w:r w:rsidR="002C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895B1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maio/2019;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B21772" w:rsidP="00B217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275D0E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="00275D0E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R</w:t>
            </w:r>
            <w:r w:rsidR="00275D0E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elatório</w:t>
            </w:r>
            <w:r w:rsidR="001A0F74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</w:t>
            </w:r>
            <w:r w:rsidR="00C84FDC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trativo e Financeiro do mês de maio</w:t>
            </w:r>
            <w:r w:rsidR="00275D0E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75D0E"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onde </w:t>
            </w:r>
            <w:r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tiverem</w:t>
            </w:r>
            <w:r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contratações no período, </w:t>
            </w:r>
            <w:r w:rsidR="00275D0E"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teve nenhum desligamento de empregado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75D0E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houveram </w:t>
            </w:r>
            <w:r w:rsidR="00275D0E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dois</w:t>
            </w:r>
            <w:r w:rsidR="001A0F74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84FDC"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desligamentos</w:t>
            </w:r>
            <w:r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estagiários</w:t>
            </w:r>
            <w:r w:rsidR="00275D0E"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Com relação ao absenteísmo teve um aumento considerável</w:t>
            </w:r>
            <w:r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elevado pela gerencia de fiscalização</w:t>
            </w:r>
            <w:r w:rsidR="00275D0E"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84FDC" w:rsidRPr="00B21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participação</w:t>
            </w:r>
            <w:r w:rsidR="00C84FDC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4 </w:t>
            </w:r>
            <w:r w:rsidR="003F7216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empregados e </w:t>
            </w:r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C84FDC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3F7216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84FDC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treinamentos no mês</w:t>
            </w:r>
            <w:r w:rsidR="003F7216" w:rsidRP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3B22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finalizar o G</w:t>
            </w:r>
            <w:r w:rsidR="006F6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Filipe</w:t>
            </w:r>
            <w:r w:rsidR="00C84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 que a respeito d</w:t>
            </w:r>
            <w:r w:rsidR="00C84FDC" w:rsidRPr="00C84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84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arrecadações</w:t>
            </w:r>
            <w:r w:rsidR="00C84FDC" w:rsidRPr="00C84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verificou-se um padrão de normalidade para os primeiros cinco meses de 2019, sem a necessidade de eventuais contingenciamentos orçamentários.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895B19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Diretrizes dos Planos de Ação da Reprogramação Orçamentária 2019.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4251AA" w:rsidP="006F4D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Depende das diretrizes orçamentárias</w:t>
            </w:r>
            <w:r w:rsidR="00545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será analisada em reunião extraordinária agendada para o dia 11/07/2019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895B19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Analise Pleito dos empregados 2019;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52" w:rsidRPr="00E81AE6" w:rsidRDefault="00244496" w:rsidP="005310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Depende das diretrizes orçamentárias, será analisada em reunião extraordinária agendada para o dia 11/07/2019.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895B1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Financeira sobre contratação de novo Advogado;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8A0A1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0A15" w:rsidRPr="00C23625" w:rsidRDefault="008A0A15" w:rsidP="008A0A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15" w:rsidRPr="00E81AE6" w:rsidRDefault="00244496" w:rsidP="00670A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Depende das diretrizes orçamentárias, será analisada em reunião extraordinária agendada para o dia 11/07/2019.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895B1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07D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07D" w:rsidRPr="00C23625" w:rsidRDefault="00FA407D" w:rsidP="00FA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07D" w:rsidRPr="00074F58" w:rsidRDefault="00A41762" w:rsidP="00FA4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</w:t>
            </w:r>
            <w:r w:rsidR="00034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ipe Maia</w:t>
            </w:r>
          </w:p>
        </w:tc>
      </w:tr>
      <w:tr w:rsidR="00FA407D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07D" w:rsidRPr="00C23625" w:rsidRDefault="00FA407D" w:rsidP="00FA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1B6" w:rsidRDefault="007F31B6" w:rsidP="007F31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administrativo e financeiro</w:t>
            </w:r>
            <w:r w:rsidR="00244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Fillipe Maia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os acordos de cooperação para os eventos:</w:t>
            </w:r>
          </w:p>
          <w:p w:rsidR="007F31B6" w:rsidRDefault="007F31B6" w:rsidP="007F31B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31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Seminário de Conservação e Restauração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ACCR - Associação Catarinense de Conservadores e Restauradores de Bens Culturais.</w:t>
            </w:r>
          </w:p>
          <w:p w:rsidR="007F31B6" w:rsidRDefault="007F31B6" w:rsidP="007F31B6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31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Seminário “As novas Ferramentas Urbanísticas Indispensáveis para a construção de Joinville”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Sindicado da Indústria da Construção Civil de Joinville.</w:t>
            </w:r>
          </w:p>
          <w:p w:rsidR="00FA407D" w:rsidRDefault="007F31B6" w:rsidP="007F31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apresentou os objetivos de cada seminário e as respectivas prestações de contas. </w:t>
            </w:r>
          </w:p>
          <w:p w:rsidR="00BB7DC3" w:rsidRPr="00511E76" w:rsidRDefault="00BB7DC3" w:rsidP="00EE5A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os conselheiros aprovaram o Relatório </w:t>
            </w:r>
            <w:r w:rsidR="00EE5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Técnico de</w:t>
            </w:r>
            <w:r w:rsidR="00D442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onitoramento </w:t>
            </w:r>
            <w:r w:rsidR="00EE5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D442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Avaliação</w:t>
            </w:r>
            <w:r w:rsidR="00EE5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ambos acordos de cooperação.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895B1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01/2019;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D00567" w:rsidP="00D005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Foram apresentadas</w:t>
            </w:r>
            <w:r w:rsidR="00E81A46">
              <w:rPr>
                <w:rFonts w:ascii="Arial" w:eastAsia="Times New Roman" w:hAnsi="Arial" w:cs="Arial"/>
                <w:sz w:val="22"/>
                <w:szCs w:val="22"/>
              </w:rPr>
              <w:t xml:space="preserve"> as principais altera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ções e inclusões no edital, houve destaque para a inclusão</w:t>
            </w:r>
            <w:r w:rsidR="00E81A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 justificativa e d</w:t>
            </w:r>
            <w:r w:rsidR="00E81A46">
              <w:rPr>
                <w:rFonts w:ascii="Arial" w:eastAsia="Times New Roman" w:hAnsi="Arial" w:cs="Arial"/>
                <w:sz w:val="22"/>
                <w:szCs w:val="22"/>
              </w:rPr>
              <w:t xml:space="preserve">evido a fluxos internos a </w:t>
            </w:r>
            <w:r w:rsidR="00335E2C">
              <w:rPr>
                <w:rFonts w:ascii="Arial" w:eastAsia="Times New Roman" w:hAnsi="Arial" w:cs="Arial"/>
                <w:sz w:val="22"/>
                <w:szCs w:val="22"/>
              </w:rPr>
              <w:t xml:space="preserve">data para lançamento do edital </w:t>
            </w:r>
            <w:r w:rsidR="00E81A46">
              <w:rPr>
                <w:rFonts w:ascii="Arial" w:eastAsia="Times New Roman" w:hAnsi="Arial" w:cs="Arial"/>
                <w:sz w:val="22"/>
                <w:szCs w:val="22"/>
              </w:rPr>
              <w:t xml:space="preserve">foi postergada. 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895B1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A87967" w:rsidP="00670A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Conselheiro </w:t>
            </w:r>
            <w:r w:rsidRPr="007332F2">
              <w:rPr>
                <w:rFonts w:ascii="Arial" w:eastAsia="MS Mincho" w:hAnsi="Arial" w:cs="Arial"/>
                <w:sz w:val="22"/>
                <w:szCs w:val="22"/>
              </w:rPr>
              <w:t xml:space="preserve">Felipe B. </w:t>
            </w:r>
            <w:proofErr w:type="spellStart"/>
            <w:r w:rsidRPr="007332F2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elaborou relatório e voto do processo administrativo de cobrança 345/2017 julgando conforme deliberação 44/2019 e a Coordenadora A</w:t>
            </w:r>
            <w:r w:rsidR="00D233CD">
              <w:rPr>
                <w:rFonts w:ascii="Arial" w:eastAsia="MS Mincho" w:hAnsi="Arial" w:cs="Arial"/>
                <w:sz w:val="22"/>
                <w:szCs w:val="22"/>
              </w:rPr>
              <w:t>d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junta da Comissão, Conselheira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certificou o arquivamento do Processo Administrativo 1056/2017, pelo adimplemento integral do valor devido.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895B1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Despacho presidencial do CAU/BR para suspensões da Resolução 47/2013 e seus impactos (verbas de deslocamento);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2F2" w:rsidRPr="007F1146" w:rsidRDefault="003A57F6" w:rsidP="00F16F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F1146">
              <w:rPr>
                <w:rFonts w:ascii="Arial" w:eastAsia="Times New Roman" w:hAnsi="Arial" w:cs="Arial"/>
                <w:sz w:val="22"/>
                <w:szCs w:val="22"/>
              </w:rPr>
              <w:t>Primeiramente o Gerente Adminis</w:t>
            </w:r>
            <w:r w:rsidR="00D00567">
              <w:rPr>
                <w:rFonts w:ascii="Arial" w:eastAsia="Times New Roman" w:hAnsi="Arial" w:cs="Arial"/>
                <w:sz w:val="22"/>
                <w:szCs w:val="22"/>
              </w:rPr>
              <w:t>trativo e F</w:t>
            </w:r>
            <w:r w:rsidR="00CB3550" w:rsidRPr="007F1146">
              <w:rPr>
                <w:rFonts w:ascii="Arial" w:eastAsia="Times New Roman" w:hAnsi="Arial" w:cs="Arial"/>
                <w:sz w:val="22"/>
                <w:szCs w:val="22"/>
              </w:rPr>
              <w:t>inanceiro Filipe Lima</w:t>
            </w:r>
            <w:r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7F1146">
              <w:rPr>
                <w:rFonts w:ascii="Arial" w:eastAsia="Times New Roman" w:hAnsi="Arial" w:cs="Arial"/>
                <w:sz w:val="22"/>
                <w:szCs w:val="22"/>
              </w:rPr>
              <w:t>Rockenbach</w:t>
            </w:r>
            <w:proofErr w:type="spellEnd"/>
            <w:r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expôs a </w:t>
            </w:r>
            <w:r w:rsidR="00335E2C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Deliberação plenária 367 </w:t>
            </w:r>
            <w:r w:rsidR="004302F2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– 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que dispõe sobre a Suspensão de dispositivos da Portaria Normativa CAU/SC nº 02/2019, conforme determinação do CAU/BR, por recomendação do Ministério Público Federal. Em seguida, a </w:t>
            </w:r>
            <w:r w:rsidR="005623B3"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 w:rsidRPr="007F1146">
              <w:rPr>
                <w:rFonts w:ascii="Arial" w:eastAsia="Times New Roman" w:hAnsi="Arial" w:cs="Arial"/>
                <w:sz w:val="22"/>
                <w:szCs w:val="22"/>
              </w:rPr>
              <w:t>erente Gera</w:t>
            </w:r>
            <w:r w:rsidR="005623B3">
              <w:rPr>
                <w:rFonts w:ascii="Arial" w:eastAsia="Times New Roman" w:hAnsi="Arial" w:cs="Arial"/>
                <w:sz w:val="22"/>
                <w:szCs w:val="22"/>
              </w:rPr>
              <w:t>l Alcenira Vanderlinde apresentou</w:t>
            </w:r>
            <w:r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a Recomendação do Ministério Público Federal enviada ao CAU/BR a respeito da suspensão da Resolução 47/201</w:t>
            </w:r>
            <w:r w:rsidR="007F1146">
              <w:rPr>
                <w:rFonts w:ascii="Arial" w:eastAsia="Times New Roman" w:hAnsi="Arial" w:cs="Arial"/>
                <w:sz w:val="22"/>
                <w:szCs w:val="22"/>
              </w:rPr>
              <w:t xml:space="preserve">3 sobre verbas de deslocamento e </w:t>
            </w:r>
            <w:r w:rsidRPr="007F1146">
              <w:rPr>
                <w:rFonts w:ascii="Arial" w:eastAsia="Times New Roman" w:hAnsi="Arial" w:cs="Arial"/>
                <w:sz w:val="22"/>
                <w:szCs w:val="22"/>
              </w:rPr>
              <w:t>apresentou o Despacho presidencial do CAU/BR</w:t>
            </w:r>
            <w:r w:rsidR="00CB3550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que suspendeu até ulterior deliberação do plenário do CAU/BR</w:t>
            </w:r>
            <w:r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890832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Foi exposto a resolução 47 do CAU/BR e verificado o conceito de diária usado pelo conselho. </w:t>
            </w:r>
            <w:r w:rsidR="00F16F14">
              <w:rPr>
                <w:rFonts w:ascii="Arial" w:eastAsia="Times New Roman" w:hAnsi="Arial" w:cs="Arial"/>
                <w:sz w:val="22"/>
                <w:szCs w:val="22"/>
              </w:rPr>
              <w:t>Em seguida, f</w:t>
            </w:r>
            <w:bookmarkStart w:id="0" w:name="_GoBack"/>
            <w:bookmarkEnd w:id="0"/>
            <w:r w:rsidR="007E4BFD">
              <w:rPr>
                <w:rFonts w:ascii="Arial" w:eastAsia="Times New Roman" w:hAnsi="Arial" w:cs="Arial"/>
                <w:sz w:val="22"/>
                <w:szCs w:val="22"/>
              </w:rPr>
              <w:t xml:space="preserve">oi citado que já em abril através da </w:t>
            </w:r>
            <w:r w:rsidR="00367C68" w:rsidRPr="007F1146">
              <w:rPr>
                <w:rFonts w:ascii="Arial" w:eastAsia="Times New Roman" w:hAnsi="Arial" w:cs="Arial"/>
                <w:sz w:val="22"/>
                <w:szCs w:val="22"/>
              </w:rPr>
              <w:t>Deliber</w:t>
            </w:r>
            <w:r w:rsidR="007E4BFD">
              <w:rPr>
                <w:rFonts w:ascii="Arial" w:eastAsia="Times New Roman" w:hAnsi="Arial" w:cs="Arial"/>
                <w:sz w:val="22"/>
                <w:szCs w:val="22"/>
              </w:rPr>
              <w:t>ação 07/20</w:t>
            </w:r>
            <w:r w:rsidR="00F16F14">
              <w:rPr>
                <w:rFonts w:ascii="Arial" w:eastAsia="Times New Roman" w:hAnsi="Arial" w:cs="Arial"/>
                <w:sz w:val="22"/>
                <w:szCs w:val="22"/>
              </w:rPr>
              <w:t>19 do CD do CAU/BR, foi solicitado</w:t>
            </w:r>
            <w:r w:rsidR="00367C68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a elaboração de um estudo aprofundado quanto ao pagamento de diárias e jetons.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Além disso, </w:t>
            </w:r>
            <w:r w:rsidR="007F1146">
              <w:rPr>
                <w:rFonts w:ascii="Arial" w:eastAsia="Times New Roman" w:hAnsi="Arial" w:cs="Arial"/>
                <w:sz w:val="22"/>
                <w:szCs w:val="22"/>
              </w:rPr>
              <w:t>foi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solicitado um parecer jurídico</w:t>
            </w:r>
            <w:r w:rsidR="00586E38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e financeiro</w:t>
            </w:r>
            <w:r w:rsidR="00FC7D7D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além de um estudo sobre </w:t>
            </w:r>
            <w:r w:rsidR="00FC7D7D" w:rsidRPr="007F1146">
              <w:rPr>
                <w:rFonts w:ascii="Arial" w:eastAsia="Times New Roman" w:hAnsi="Arial" w:cs="Arial"/>
                <w:sz w:val="22"/>
                <w:szCs w:val="22"/>
              </w:rPr>
              <w:t>jet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>ons, diárias e ajudas de custos</w:t>
            </w:r>
            <w:r w:rsidR="00586E38" w:rsidRPr="007F1146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7F11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00567">
              <w:rPr>
                <w:rFonts w:ascii="Arial" w:eastAsia="Times New Roman" w:hAnsi="Arial" w:cs="Arial"/>
                <w:sz w:val="22"/>
                <w:szCs w:val="22"/>
              </w:rPr>
              <w:t>Por fim,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foi agendado </w:t>
            </w:r>
            <w:r w:rsidR="00586E38" w:rsidRPr="007F1146">
              <w:rPr>
                <w:rFonts w:ascii="Arial" w:eastAsia="Times New Roman" w:hAnsi="Arial" w:cs="Arial"/>
                <w:sz w:val="22"/>
                <w:szCs w:val="22"/>
              </w:rPr>
              <w:t>uma reunião extraordinária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para o dia 11/07</w:t>
            </w:r>
            <w:r w:rsidR="00AB6211">
              <w:rPr>
                <w:rFonts w:ascii="Arial" w:eastAsia="Times New Roman" w:hAnsi="Arial" w:cs="Arial"/>
                <w:sz w:val="22"/>
                <w:szCs w:val="22"/>
              </w:rPr>
              <w:t>/2019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para continuação</w:t>
            </w:r>
            <w:r w:rsidR="00586E38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F1146" w:rsidRPr="007F1146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586E38" w:rsidRPr="007F1146">
              <w:rPr>
                <w:rFonts w:ascii="Arial" w:eastAsia="Times New Roman" w:hAnsi="Arial" w:cs="Arial"/>
                <w:sz w:val="22"/>
                <w:szCs w:val="22"/>
              </w:rPr>
              <w:t xml:space="preserve">a análise.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71C6B" w:rsidRPr="00074F58" w:rsidRDefault="00571C6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C1BAE" w:rsidRPr="002072EB" w:rsidTr="00EA02D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1BAE" w:rsidRDefault="00FC1BAE" w:rsidP="00EA02D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C1BAE" w:rsidRPr="00074F58" w:rsidTr="00EA02D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BAE" w:rsidRPr="00074F58" w:rsidRDefault="00FC1BAE" w:rsidP="00EA02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BAE" w:rsidRPr="00074F58" w:rsidRDefault="00CA44EF" w:rsidP="00EA02D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COA</w:t>
            </w:r>
            <w:r w:rsidR="00747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Região Sul </w:t>
            </w:r>
          </w:p>
        </w:tc>
      </w:tr>
      <w:tr w:rsidR="00FC1BAE" w:rsidRPr="00074F58" w:rsidTr="00EA02D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BAE" w:rsidRPr="00074F58" w:rsidRDefault="00FC1BAE" w:rsidP="00EA02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BAE" w:rsidRPr="00074F58" w:rsidRDefault="00FC1BAE" w:rsidP="00EA0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C1BAE" w:rsidRPr="00074F58" w:rsidTr="00EA02D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BAE" w:rsidRPr="00074F58" w:rsidRDefault="00FC1BAE" w:rsidP="00EA02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BAE" w:rsidRPr="00C23625" w:rsidRDefault="00C12D29" w:rsidP="00EA02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C1BAE" w:rsidRPr="00074F58" w:rsidTr="00EA02DE">
        <w:trPr>
          <w:trHeight w:val="92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BAE" w:rsidRPr="00074F58" w:rsidRDefault="00FC1BAE" w:rsidP="00EA02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2D29" w:rsidRDefault="005623B3" w:rsidP="00FC1B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</w:t>
            </w:r>
            <w:r w:rsid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intenção de se realizar uma reunião contemplando as Comissões</w:t>
            </w:r>
            <w:r w:rsidR="00C12D29" w:rsidRP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Organização e Administração</w:t>
            </w:r>
            <w:r w:rsid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</w:t>
            </w:r>
            <w:proofErr w:type="spellStart"/>
            <w:r w:rsid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</w:t>
            </w:r>
            <w:r w:rsidR="00F82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’s</w:t>
            </w:r>
            <w:proofErr w:type="spellEnd"/>
            <w:r w:rsid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região Sul, os conselheiros apresentaram interesse na realização deste evento e sugeriram 3 temas para o encontro: </w:t>
            </w:r>
          </w:p>
          <w:p w:rsidR="00C12D29" w:rsidRPr="00C12D29" w:rsidRDefault="00C12D29" w:rsidP="00C12D2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Discussão sobre jetons, diárias e ajuda de custo;</w:t>
            </w:r>
          </w:p>
          <w:p w:rsidR="00C12D29" w:rsidRPr="00C12D29" w:rsidRDefault="00C12D29" w:rsidP="00C12D2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Discussões sobre as modalidades de parcerias, apoios e patrocínios;</w:t>
            </w:r>
          </w:p>
          <w:p w:rsidR="00C12D29" w:rsidRPr="00C12D29" w:rsidRDefault="00C12D29" w:rsidP="00C12D2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Discussão sobre questões trabalhistas e condutas de empregados. </w:t>
            </w:r>
          </w:p>
        </w:tc>
      </w:tr>
    </w:tbl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57AE5" w:rsidRDefault="00B57AE5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4660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63" w:rsidRPr="00906F63" w:rsidRDefault="00906F63" w:rsidP="00906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F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FELIPE B. KASPARY 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4"/>
  </w:num>
  <w:num w:numId="5">
    <w:abstractNumId w:val="16"/>
  </w:num>
  <w:num w:numId="6">
    <w:abstractNumId w:val="25"/>
  </w:num>
  <w:num w:numId="7">
    <w:abstractNumId w:val="8"/>
  </w:num>
  <w:num w:numId="8">
    <w:abstractNumId w:val="14"/>
  </w:num>
  <w:num w:numId="9">
    <w:abstractNumId w:val="27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446F"/>
    <w:rsid w:val="000149C9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101B9F"/>
    <w:rsid w:val="00102BE2"/>
    <w:rsid w:val="0011020F"/>
    <w:rsid w:val="00110EB3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3926"/>
    <w:rsid w:val="004362FE"/>
    <w:rsid w:val="00436843"/>
    <w:rsid w:val="00442214"/>
    <w:rsid w:val="00443CFD"/>
    <w:rsid w:val="004478FB"/>
    <w:rsid w:val="004549D3"/>
    <w:rsid w:val="00456F30"/>
    <w:rsid w:val="00460528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08D8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D64"/>
    <w:rsid w:val="006F1EC4"/>
    <w:rsid w:val="006F39D8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4BFD"/>
    <w:rsid w:val="007E5BDE"/>
    <w:rsid w:val="007E7E96"/>
    <w:rsid w:val="007F075B"/>
    <w:rsid w:val="007F1146"/>
    <w:rsid w:val="007F1B0D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57BC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42DE"/>
    <w:rsid w:val="009D5884"/>
    <w:rsid w:val="009E2DA2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4FDC"/>
    <w:rsid w:val="00C87D83"/>
    <w:rsid w:val="00C94A6D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46"/>
    <w:rsid w:val="00E81AE6"/>
    <w:rsid w:val="00E824EA"/>
    <w:rsid w:val="00E84F11"/>
    <w:rsid w:val="00E85D72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6A93"/>
    <w:rsid w:val="00F02BF9"/>
    <w:rsid w:val="00F04D0C"/>
    <w:rsid w:val="00F059C3"/>
    <w:rsid w:val="00F0657F"/>
    <w:rsid w:val="00F0787B"/>
    <w:rsid w:val="00F147C6"/>
    <w:rsid w:val="00F16F14"/>
    <w:rsid w:val="00F17BEF"/>
    <w:rsid w:val="00F2048A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6607"/>
    <w:rsid w:val="00F67D8B"/>
    <w:rsid w:val="00F7087D"/>
    <w:rsid w:val="00F80455"/>
    <w:rsid w:val="00F814AF"/>
    <w:rsid w:val="00F82705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25497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B21E-DDED-4F4E-8486-91352AE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1106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114</cp:revision>
  <cp:lastPrinted>2019-07-02T13:16:00Z</cp:lastPrinted>
  <dcterms:created xsi:type="dcterms:W3CDTF">2019-06-25T17:03:00Z</dcterms:created>
  <dcterms:modified xsi:type="dcterms:W3CDTF">2019-07-23T11:29:00Z</dcterms:modified>
</cp:coreProperties>
</file>