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B306B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716009/2018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1504A0">
              <w:rPr>
                <w:rFonts w:ascii="Arial" w:hAnsi="Arial" w:cs="Arial"/>
                <w:b/>
              </w:rPr>
              <w:t>11</w:t>
            </w:r>
            <w:r w:rsidR="00AD5480">
              <w:rPr>
                <w:rFonts w:ascii="Arial" w:hAnsi="Arial" w:cs="Arial"/>
                <w:b/>
              </w:rPr>
              <w:t>9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6A262B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>
        <w:rPr>
          <w:rFonts w:ascii="Arial" w:hAnsi="Arial" w:cs="Arial"/>
        </w:rPr>
        <w:t xml:space="preserve"> Pela aprovação do parecer apresentado pel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Relator, Conselheir</w:t>
      </w:r>
      <w:r>
        <w:rPr>
          <w:rFonts w:ascii="Arial" w:hAnsi="Arial" w:cs="Arial"/>
        </w:rPr>
        <w:t>o Everson Martins</w:t>
      </w:r>
      <w:r>
        <w:rPr>
          <w:rFonts w:ascii="Arial" w:hAnsi="Arial" w:cs="Arial"/>
        </w:rPr>
        <w:t>, no sentido de inadmitir a denúncia e determinar o arquivamento liminar do processo;</w:t>
      </w:r>
    </w:p>
    <w:p w:rsidR="006A262B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Pela intimação das partes, nos termos do art. 22 da Resolução n. 143/2017 – CAU/BR</w:t>
      </w:r>
      <w:r w:rsidRPr="00986C49">
        <w:rPr>
          <w:rFonts w:ascii="Arial" w:hAnsi="Arial" w:cs="Arial"/>
        </w:rPr>
        <w:t>.</w:t>
      </w:r>
    </w:p>
    <w:p w:rsidR="006A262B" w:rsidRPr="00986C49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Pr="00A15B88" w:rsidRDefault="006A262B" w:rsidP="006A262B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Everson Martins e Juliana </w:t>
      </w:r>
      <w:proofErr w:type="spellStart"/>
      <w:r>
        <w:rPr>
          <w:rFonts w:ascii="Arial" w:hAnsi="Arial" w:cs="Arial"/>
        </w:rPr>
        <w:t>Cordula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 de Andrade.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  <w:bookmarkStart w:id="0" w:name="_GoBack"/>
      <w:bookmarkEnd w:id="0"/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473C6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3085-D7AA-43A1-A38F-4913FFD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2019-10-22T14:54:00Z</cp:lastPrinted>
  <dcterms:created xsi:type="dcterms:W3CDTF">2019-10-21T18:39:00Z</dcterms:created>
  <dcterms:modified xsi:type="dcterms:W3CDTF">2019-10-22T14:55:00Z</dcterms:modified>
</cp:coreProperties>
</file>