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311C47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0F48B0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0F48B0" w:rsidP="002907A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Consulta</w:t>
            </w:r>
            <w:r w:rsidR="004A2CB8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 xml:space="preserve">sobre </w:t>
            </w:r>
            <w:r w:rsidR="003A77B9">
              <w:rPr>
                <w:rFonts w:ascii="Arial" w:eastAsia="Times New Roman" w:hAnsi="Arial" w:cs="Arial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lang w:eastAsia="pt-BR"/>
              </w:rPr>
              <w:t>atribuição</w:t>
            </w:r>
            <w:r w:rsidR="004225D0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2907A0">
              <w:rPr>
                <w:rFonts w:ascii="Arial" w:eastAsia="Times New Roman" w:hAnsi="Arial" w:cs="Arial"/>
                <w:lang w:eastAsia="pt-BR"/>
              </w:rPr>
              <w:t>de contenção costeira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809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E811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64001" w:rsidRPr="00E811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 w:rsidR="00FB5CC6" w:rsidRPr="00E811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311C47">
        <w:rPr>
          <w:rFonts w:ascii="Arial" w:eastAsia="Times New Roman" w:hAnsi="Arial" w:cs="Arial"/>
          <w:lang w:eastAsia="pt-BR"/>
        </w:rPr>
        <w:t>29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311C47">
        <w:rPr>
          <w:rFonts w:ascii="Arial" w:eastAsia="Times New Roman" w:hAnsi="Arial" w:cs="Arial"/>
          <w:lang w:eastAsia="pt-BR"/>
        </w:rPr>
        <w:t xml:space="preserve">maio </w:t>
      </w:r>
      <w:r>
        <w:rPr>
          <w:rFonts w:ascii="Arial" w:eastAsia="Times New Roman" w:hAnsi="Arial" w:cs="Arial"/>
          <w:lang w:eastAsia="pt-BR"/>
        </w:rPr>
        <w:t>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907A0" w:rsidRPr="00AF5699" w:rsidRDefault="002907A0" w:rsidP="002907A0">
      <w:pPr>
        <w:jc w:val="both"/>
        <w:rPr>
          <w:rFonts w:ascii="Arial" w:eastAsia="Times New Roman" w:hAnsi="Arial" w:cs="Arial"/>
          <w:lang w:eastAsia="pt-BR"/>
        </w:rPr>
      </w:pPr>
      <w:r w:rsidRPr="00AF5699">
        <w:rPr>
          <w:rFonts w:ascii="Arial" w:eastAsia="Times New Roman" w:hAnsi="Arial" w:cs="Arial"/>
          <w:lang w:eastAsia="pt-BR"/>
        </w:rPr>
        <w:t>Considerando que o artigo 2º da Lei 12.378/2010, que dispõe sobre as atividades e atribuições do arquiteto e urbanista;</w:t>
      </w:r>
    </w:p>
    <w:p w:rsidR="002907A0" w:rsidRPr="00AF5699" w:rsidRDefault="002907A0" w:rsidP="002907A0">
      <w:pPr>
        <w:jc w:val="both"/>
        <w:rPr>
          <w:rFonts w:ascii="Arial" w:eastAsia="Times New Roman" w:hAnsi="Arial" w:cs="Arial"/>
          <w:lang w:eastAsia="pt-BR"/>
        </w:rPr>
      </w:pPr>
    </w:p>
    <w:p w:rsidR="002907A0" w:rsidRDefault="002907A0" w:rsidP="002907A0">
      <w:pPr>
        <w:jc w:val="both"/>
        <w:rPr>
          <w:rFonts w:ascii="Arial" w:eastAsia="Times New Roman" w:hAnsi="Arial" w:cs="Arial"/>
          <w:lang w:eastAsia="pt-BR"/>
        </w:rPr>
      </w:pPr>
      <w:r w:rsidRPr="00AF5699">
        <w:rPr>
          <w:rFonts w:ascii="Arial" w:hAnsi="Arial" w:cs="Arial"/>
        </w:rPr>
        <w:t>Considerando o artigo 3º da Resolução nº21 do CAU/BR que detalha em seu art. 3º o rol das atividades técnicas de atribuição profissional do arquiteto e urbanista;</w:t>
      </w:r>
    </w:p>
    <w:p w:rsidR="002907A0" w:rsidRDefault="002907A0" w:rsidP="00A36D7E">
      <w:pPr>
        <w:jc w:val="both"/>
        <w:rPr>
          <w:rFonts w:ascii="Arial" w:eastAsia="Times New Roman" w:hAnsi="Arial" w:cs="Arial"/>
          <w:lang w:eastAsia="pt-BR"/>
        </w:rPr>
      </w:pPr>
    </w:p>
    <w:p w:rsidR="00C04E4A" w:rsidRDefault="00C04E4A" w:rsidP="00A3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 Deliberação nº85/2018 da CEP-CAU/BR esclareceu que a atividade de “</w:t>
      </w:r>
      <w:proofErr w:type="spellStart"/>
      <w:r>
        <w:rPr>
          <w:rFonts w:ascii="Arial" w:eastAsia="Times New Roman" w:hAnsi="Arial" w:cs="Arial"/>
          <w:lang w:eastAsia="pt-BR"/>
        </w:rPr>
        <w:t>enrocamento</w:t>
      </w:r>
      <w:proofErr w:type="spellEnd"/>
      <w:r>
        <w:rPr>
          <w:rFonts w:ascii="Arial" w:eastAsia="Times New Roman" w:hAnsi="Arial" w:cs="Arial"/>
          <w:lang w:eastAsia="pt-BR"/>
        </w:rPr>
        <w:t>” não é de atribuição de arquitetos e urbanistas;</w:t>
      </w:r>
    </w:p>
    <w:p w:rsidR="00C04E4A" w:rsidRDefault="00C04E4A" w:rsidP="00A36D7E">
      <w:pPr>
        <w:jc w:val="both"/>
        <w:rPr>
          <w:rFonts w:ascii="Arial" w:eastAsia="Times New Roman" w:hAnsi="Arial" w:cs="Arial"/>
          <w:lang w:eastAsia="pt-BR"/>
        </w:rPr>
      </w:pPr>
    </w:p>
    <w:p w:rsidR="00CB1F73" w:rsidRDefault="00C04E4A" w:rsidP="00A3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nº78 da CEF-CAU/BR, que aprovou o voto do conselheiro </w:t>
      </w:r>
      <w:r w:rsidR="003945F5">
        <w:rPr>
          <w:rFonts w:ascii="Arial" w:eastAsia="Times New Roman" w:hAnsi="Arial" w:cs="Arial"/>
          <w:lang w:eastAsia="pt-BR"/>
        </w:rPr>
        <w:t xml:space="preserve">relator </w:t>
      </w:r>
      <w:r>
        <w:rPr>
          <w:rFonts w:ascii="Arial" w:eastAsia="Times New Roman" w:hAnsi="Arial" w:cs="Arial"/>
          <w:lang w:eastAsia="pt-BR"/>
        </w:rPr>
        <w:t>Juliano Pamplona Ximenes Pontes, que dispõem sobre alguns conceitos relevantes</w:t>
      </w:r>
      <w:r w:rsidR="003945F5">
        <w:rPr>
          <w:rFonts w:ascii="Arial" w:eastAsia="Times New Roman" w:hAnsi="Arial" w:cs="Arial"/>
          <w:lang w:eastAsia="pt-BR"/>
        </w:rPr>
        <w:t>, cabendo destaque</w:t>
      </w:r>
      <w:r>
        <w:rPr>
          <w:rFonts w:ascii="Arial" w:eastAsia="Times New Roman" w:hAnsi="Arial" w:cs="Arial"/>
          <w:lang w:eastAsia="pt-BR"/>
        </w:rPr>
        <w:t xml:space="preserve"> sobre </w:t>
      </w:r>
      <w:proofErr w:type="spellStart"/>
      <w:r>
        <w:rPr>
          <w:rFonts w:ascii="Arial" w:eastAsia="Times New Roman" w:hAnsi="Arial" w:cs="Arial"/>
          <w:lang w:eastAsia="pt-BR"/>
        </w:rPr>
        <w:t>enrocamento</w:t>
      </w:r>
      <w:proofErr w:type="spellEnd"/>
      <w:r>
        <w:rPr>
          <w:rFonts w:ascii="Arial" w:eastAsia="Times New Roman" w:hAnsi="Arial" w:cs="Arial"/>
          <w:lang w:eastAsia="pt-BR"/>
        </w:rPr>
        <w:t xml:space="preserve">: </w:t>
      </w:r>
      <w:r w:rsidR="003945F5">
        <w:rPr>
          <w:rFonts w:ascii="Arial" w:eastAsia="Times New Roman" w:hAnsi="Arial" w:cs="Arial"/>
          <w:lang w:eastAsia="pt-BR"/>
        </w:rPr>
        <w:t>“</w:t>
      </w:r>
      <w:proofErr w:type="spellStart"/>
      <w:r w:rsidR="003945F5">
        <w:rPr>
          <w:rFonts w:ascii="Arial" w:eastAsia="Times New Roman" w:hAnsi="Arial" w:cs="Arial"/>
          <w:lang w:eastAsia="pt-BR"/>
        </w:rPr>
        <w:t>enrocamento</w:t>
      </w:r>
      <w:proofErr w:type="spellEnd"/>
      <w:r w:rsidR="003945F5">
        <w:rPr>
          <w:rFonts w:ascii="Arial" w:eastAsia="Times New Roman" w:hAnsi="Arial" w:cs="Arial"/>
          <w:lang w:eastAsia="pt-BR"/>
        </w:rPr>
        <w:t xml:space="preserve"> é uma obra de contenção nas bordas d’água”, </w:t>
      </w:r>
      <w:r>
        <w:rPr>
          <w:rFonts w:ascii="Arial" w:eastAsia="Times New Roman" w:hAnsi="Arial" w:cs="Arial"/>
          <w:lang w:eastAsia="pt-BR"/>
        </w:rPr>
        <w:t xml:space="preserve">“obras de </w:t>
      </w:r>
      <w:proofErr w:type="spellStart"/>
      <w:r>
        <w:rPr>
          <w:rFonts w:ascii="Arial" w:eastAsia="Times New Roman" w:hAnsi="Arial" w:cs="Arial"/>
          <w:lang w:eastAsia="pt-BR"/>
        </w:rPr>
        <w:t>enrocamento</w:t>
      </w:r>
      <w:proofErr w:type="spellEnd"/>
      <w:r>
        <w:rPr>
          <w:rFonts w:ascii="Arial" w:eastAsia="Times New Roman" w:hAnsi="Arial" w:cs="Arial"/>
          <w:lang w:eastAsia="pt-BR"/>
        </w:rPr>
        <w:t xml:space="preserve"> vêm sendo usadas como técnica de dissipação de energia no impacto de marés e correntes de cursos d’água(...)”</w:t>
      </w:r>
      <w:r w:rsidR="003945F5">
        <w:rPr>
          <w:rFonts w:ascii="Arial" w:eastAsia="Times New Roman" w:hAnsi="Arial" w:cs="Arial"/>
          <w:lang w:eastAsia="pt-BR"/>
        </w:rPr>
        <w:t xml:space="preserve"> e manifesta entendimento de que “embora profissionais de Arquitetura e Urbanismo tenham em suas atribuições profissionais a atuação em projeto e execução de Urbanismo, de Gestão Ambiental e Recuperação Ambiental, de Saneamento Básico e Ambiental, voto desfavoravelmente à atuação e responsabilidade técnica de profissionais de Arquitetura e Urbanismo para projeto e execução de técnicas e artefatos de </w:t>
      </w:r>
      <w:proofErr w:type="spellStart"/>
      <w:r w:rsidR="003945F5">
        <w:rPr>
          <w:rFonts w:ascii="Arial" w:eastAsia="Times New Roman" w:hAnsi="Arial" w:cs="Arial"/>
          <w:lang w:eastAsia="pt-BR"/>
        </w:rPr>
        <w:t>enrocamento</w:t>
      </w:r>
      <w:proofErr w:type="spellEnd"/>
      <w:r w:rsidR="003945F5">
        <w:rPr>
          <w:rFonts w:ascii="Arial" w:eastAsia="Times New Roman" w:hAnsi="Arial" w:cs="Arial"/>
          <w:lang w:eastAsia="pt-BR"/>
        </w:rPr>
        <w:t>(...)”;</w:t>
      </w:r>
    </w:p>
    <w:p w:rsidR="003945F5" w:rsidRDefault="003945F5" w:rsidP="00A36D7E">
      <w:pPr>
        <w:jc w:val="both"/>
        <w:rPr>
          <w:rFonts w:ascii="Arial" w:eastAsia="Times New Roman" w:hAnsi="Arial" w:cs="Arial"/>
          <w:lang w:eastAsia="pt-BR"/>
        </w:rPr>
      </w:pPr>
    </w:p>
    <w:p w:rsidR="003945F5" w:rsidRDefault="003945F5" w:rsidP="00A3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nº005/2019 da CEP-CAU/BR que esclareceu que “as atividades de cais ou píer (estrutura em plataforma fixa sobre estacas ou móveis sobre o mar, </w:t>
      </w:r>
      <w:r w:rsidR="00D64A1D">
        <w:rPr>
          <w:rFonts w:ascii="Arial" w:eastAsia="Times New Roman" w:hAnsi="Arial" w:cs="Arial"/>
          <w:lang w:eastAsia="pt-BR"/>
        </w:rPr>
        <w:t>lagos,</w:t>
      </w:r>
      <w:r>
        <w:rPr>
          <w:rFonts w:ascii="Arial" w:eastAsia="Times New Roman" w:hAnsi="Arial" w:cs="Arial"/>
          <w:lang w:eastAsia="pt-BR"/>
        </w:rPr>
        <w:t xml:space="preserve"> lagoas ou rios) para atracação e entrada de embarcações (navios, rebocadores, barcos, </w:t>
      </w:r>
      <w:proofErr w:type="spellStart"/>
      <w:r>
        <w:rPr>
          <w:rFonts w:ascii="Arial" w:eastAsia="Times New Roman" w:hAnsi="Arial" w:cs="Arial"/>
          <w:lang w:eastAsia="pt-BR"/>
        </w:rPr>
        <w:t>etc</w:t>
      </w:r>
      <w:proofErr w:type="spellEnd"/>
      <w:r>
        <w:rPr>
          <w:rFonts w:ascii="Arial" w:eastAsia="Times New Roman" w:hAnsi="Arial" w:cs="Arial"/>
          <w:lang w:eastAsia="pt-BR"/>
        </w:rPr>
        <w:t>) não encontra amparo nas Diretrizes Curriculares Nacionais do curso de Arquitetura e Urbanismo, por isso não são de atribuição e campo de atuação dos arquitetos e urbanistas”;</w:t>
      </w:r>
    </w:p>
    <w:p w:rsidR="00F0017E" w:rsidRDefault="00F0017E" w:rsidP="00A36D7E">
      <w:pPr>
        <w:jc w:val="both"/>
        <w:rPr>
          <w:rFonts w:ascii="Arial" w:eastAsia="Times New Roman" w:hAnsi="Arial" w:cs="Arial"/>
          <w:lang w:eastAsia="pt-BR"/>
        </w:rPr>
      </w:pPr>
    </w:p>
    <w:p w:rsidR="00F96340" w:rsidRPr="007B7F20" w:rsidRDefault="00F96340" w:rsidP="00F96340">
      <w:pPr>
        <w:jc w:val="both"/>
        <w:rPr>
          <w:rFonts w:ascii="Arial" w:hAnsi="Arial" w:cs="Arial"/>
        </w:rPr>
      </w:pPr>
      <w:r w:rsidRPr="007B7F20">
        <w:rPr>
          <w:rFonts w:ascii="Arial" w:hAnsi="Arial" w:cs="Arial"/>
        </w:rPr>
        <w:t>Considerando o Regimento interno do CAU/SC, Art. 95, Inciso VIII, alínea “i”, que define que compete a Comissão de Exercício Profissional – CEP -  propor, apreciar e deliberar sobre questionamentos a atos já normatizados pelo CAU/BR referentes a atividades técnicas no exercício da Arquitetura e Urbanismo;</w:t>
      </w:r>
    </w:p>
    <w:p w:rsidR="00B71C34" w:rsidRPr="007B7F20" w:rsidRDefault="00B71C34" w:rsidP="00F96340">
      <w:pPr>
        <w:jc w:val="both"/>
        <w:rPr>
          <w:rFonts w:ascii="Arial" w:hAnsi="Arial" w:cs="Arial"/>
        </w:rPr>
      </w:pPr>
    </w:p>
    <w:p w:rsidR="00B71C34" w:rsidRDefault="00B71C34" w:rsidP="00B71C34">
      <w:pPr>
        <w:jc w:val="both"/>
        <w:rPr>
          <w:rFonts w:ascii="Arial" w:eastAsia="Times New Roman" w:hAnsi="Arial" w:cs="Arial"/>
          <w:lang w:eastAsia="pt-BR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96340" w:rsidRDefault="00F96340" w:rsidP="00A36D7E">
      <w:pPr>
        <w:jc w:val="both"/>
      </w:pPr>
    </w:p>
    <w:p w:rsidR="00A36D7E" w:rsidRDefault="00A36D7E" w:rsidP="00A36D7E">
      <w:pPr>
        <w:jc w:val="both"/>
      </w:pPr>
    </w:p>
    <w:p w:rsidR="00A36D7E" w:rsidRPr="00A36D7E" w:rsidRDefault="00A36D7E" w:rsidP="00A36D7E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7B7F20" w:rsidRDefault="00A36D7E" w:rsidP="00B71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0C641D">
        <w:rPr>
          <w:rFonts w:ascii="Arial" w:hAnsi="Arial" w:cs="Arial"/>
        </w:rPr>
        <w:t>–</w:t>
      </w:r>
      <w:r w:rsidRPr="00A36D7E">
        <w:rPr>
          <w:rFonts w:ascii="Arial" w:hAnsi="Arial" w:cs="Arial"/>
        </w:rPr>
        <w:t xml:space="preserve"> </w:t>
      </w:r>
      <w:r w:rsidR="00DD1DB7">
        <w:rPr>
          <w:rFonts w:ascii="Arial" w:hAnsi="Arial" w:cs="Arial"/>
        </w:rPr>
        <w:t xml:space="preserve">Esclarecer </w:t>
      </w:r>
      <w:r w:rsidR="000A0DBD">
        <w:rPr>
          <w:rFonts w:ascii="Arial" w:hAnsi="Arial" w:cs="Arial"/>
        </w:rPr>
        <w:t xml:space="preserve">para a Gerência Técnica do CAU/SC </w:t>
      </w:r>
      <w:r w:rsidR="007B7F20">
        <w:rPr>
          <w:rFonts w:ascii="Arial" w:hAnsi="Arial" w:cs="Arial"/>
        </w:rPr>
        <w:t>que atividades técnicas</w:t>
      </w:r>
      <w:r w:rsidR="00DD1DB7">
        <w:rPr>
          <w:rFonts w:ascii="Arial" w:hAnsi="Arial" w:cs="Arial"/>
        </w:rPr>
        <w:t xml:space="preserve"> </w:t>
      </w:r>
      <w:r w:rsidR="007B7F20">
        <w:rPr>
          <w:rFonts w:ascii="Arial" w:hAnsi="Arial" w:cs="Arial"/>
        </w:rPr>
        <w:t>relacionadas a contenção costeira não são de atribuição de arquitetos e urbanistas, não podendo assim, contar com a participação e responsabilidade técnica de arquiteto e urbanista.</w:t>
      </w:r>
    </w:p>
    <w:p w:rsidR="007B7F20" w:rsidRDefault="007B7F20" w:rsidP="00B71C34">
      <w:pPr>
        <w:jc w:val="both"/>
        <w:rPr>
          <w:rFonts w:ascii="Arial" w:hAnsi="Arial" w:cs="Arial"/>
        </w:rPr>
      </w:pPr>
    </w:p>
    <w:p w:rsidR="007B7F20" w:rsidRDefault="007B7F20" w:rsidP="00B71C34">
      <w:pPr>
        <w:jc w:val="both"/>
        <w:rPr>
          <w:rFonts w:ascii="Arial" w:hAnsi="Arial" w:cs="Arial"/>
        </w:rPr>
      </w:pPr>
    </w:p>
    <w:p w:rsidR="007B7F20" w:rsidRDefault="007B7F20" w:rsidP="00B71C34">
      <w:pPr>
        <w:jc w:val="both"/>
        <w:rPr>
          <w:rFonts w:ascii="Arial" w:hAnsi="Arial" w:cs="Arial"/>
        </w:rPr>
      </w:pPr>
    </w:p>
    <w:p w:rsidR="00A26F2E" w:rsidRDefault="00A26F2E" w:rsidP="00A26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E811E0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 w:rsidR="003C673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Everson Martins</w:t>
      </w:r>
      <w:r w:rsidR="003C673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E811E0" w:rsidRDefault="00E811E0" w:rsidP="002F17CE">
      <w:pPr>
        <w:jc w:val="both"/>
        <w:rPr>
          <w:rFonts w:ascii="Arial" w:hAnsi="Arial" w:cs="Arial"/>
        </w:rPr>
      </w:pPr>
    </w:p>
    <w:p w:rsidR="002F17CE" w:rsidRDefault="003A77B9" w:rsidP="002F1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11C47">
        <w:rPr>
          <w:rFonts w:ascii="Arial" w:hAnsi="Arial" w:cs="Arial"/>
        </w:rPr>
        <w:t>29</w:t>
      </w:r>
      <w:r w:rsidR="002F17CE">
        <w:rPr>
          <w:rFonts w:ascii="Arial" w:hAnsi="Arial" w:cs="Arial"/>
        </w:rPr>
        <w:t xml:space="preserve"> de </w:t>
      </w:r>
      <w:r w:rsidR="00311C47">
        <w:rPr>
          <w:rFonts w:ascii="Arial" w:hAnsi="Arial" w:cs="Arial"/>
        </w:rPr>
        <w:t xml:space="preserve">maio </w:t>
      </w:r>
      <w:r w:rsidR="002F17CE">
        <w:rPr>
          <w:rFonts w:ascii="Arial" w:hAnsi="Arial" w:cs="Arial"/>
        </w:rPr>
        <w:t>de 2019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3C673B" w:rsidRDefault="003C673B" w:rsidP="002F17CE">
      <w:pPr>
        <w:jc w:val="both"/>
        <w:rPr>
          <w:rFonts w:ascii="Arial" w:hAnsi="Arial" w:cs="Arial"/>
        </w:rPr>
      </w:pPr>
    </w:p>
    <w:p w:rsidR="00E811E0" w:rsidRDefault="00E811E0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F17CE" w:rsidRDefault="002F17CE" w:rsidP="002F17CE">
      <w:pPr>
        <w:jc w:val="both"/>
        <w:rPr>
          <w:rFonts w:ascii="Arial" w:hAnsi="Arial" w:cs="Arial"/>
          <w:b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3C673B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</w:t>
      </w:r>
      <w:r w:rsidR="002F17CE">
        <w:rPr>
          <w:rFonts w:ascii="Arial" w:hAnsi="Arial" w:cs="Arial"/>
        </w:rPr>
        <w:t>uplente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F17CE" w:rsidRDefault="003C673B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</w:t>
      </w:r>
      <w:bookmarkStart w:id="0" w:name="_GoBack"/>
      <w:bookmarkEnd w:id="0"/>
      <w:r w:rsidR="002F17CE">
        <w:rPr>
          <w:rFonts w:ascii="Arial" w:hAnsi="Arial" w:cs="Arial"/>
          <w:lang w:eastAsia="pt-BR"/>
        </w:rPr>
        <w:t>uplente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A0DBD"/>
    <w:rsid w:val="000C641D"/>
    <w:rsid w:val="000E6DF2"/>
    <w:rsid w:val="000F48B0"/>
    <w:rsid w:val="000F559C"/>
    <w:rsid w:val="001079B8"/>
    <w:rsid w:val="00143CB8"/>
    <w:rsid w:val="001848AD"/>
    <w:rsid w:val="00190120"/>
    <w:rsid w:val="001D491C"/>
    <w:rsid w:val="001F24F4"/>
    <w:rsid w:val="00224F00"/>
    <w:rsid w:val="00237ABF"/>
    <w:rsid w:val="0024303B"/>
    <w:rsid w:val="002907A0"/>
    <w:rsid w:val="002F17CE"/>
    <w:rsid w:val="00311C47"/>
    <w:rsid w:val="0035521E"/>
    <w:rsid w:val="003945F5"/>
    <w:rsid w:val="003A77B9"/>
    <w:rsid w:val="003B4522"/>
    <w:rsid w:val="003C673B"/>
    <w:rsid w:val="004225D0"/>
    <w:rsid w:val="00425319"/>
    <w:rsid w:val="00480328"/>
    <w:rsid w:val="004A2CB8"/>
    <w:rsid w:val="004A6316"/>
    <w:rsid w:val="004D699A"/>
    <w:rsid w:val="00510668"/>
    <w:rsid w:val="005373F9"/>
    <w:rsid w:val="00561A66"/>
    <w:rsid w:val="00586BCC"/>
    <w:rsid w:val="005F4DCE"/>
    <w:rsid w:val="00601D86"/>
    <w:rsid w:val="00633DD4"/>
    <w:rsid w:val="00692A45"/>
    <w:rsid w:val="0069548A"/>
    <w:rsid w:val="006D303B"/>
    <w:rsid w:val="00711E6A"/>
    <w:rsid w:val="00716D3F"/>
    <w:rsid w:val="0074184B"/>
    <w:rsid w:val="007B14D6"/>
    <w:rsid w:val="007B78A9"/>
    <w:rsid w:val="007B7F20"/>
    <w:rsid w:val="007E3D06"/>
    <w:rsid w:val="008348F1"/>
    <w:rsid w:val="00864001"/>
    <w:rsid w:val="00874E46"/>
    <w:rsid w:val="0088325E"/>
    <w:rsid w:val="008B339A"/>
    <w:rsid w:val="00952B80"/>
    <w:rsid w:val="009716F1"/>
    <w:rsid w:val="00991C98"/>
    <w:rsid w:val="009B15FC"/>
    <w:rsid w:val="009D0393"/>
    <w:rsid w:val="009E450D"/>
    <w:rsid w:val="00A26F2E"/>
    <w:rsid w:val="00A36A08"/>
    <w:rsid w:val="00A36D7E"/>
    <w:rsid w:val="00B405E6"/>
    <w:rsid w:val="00B71C34"/>
    <w:rsid w:val="00B8221F"/>
    <w:rsid w:val="00BE1907"/>
    <w:rsid w:val="00BF546C"/>
    <w:rsid w:val="00C02F2F"/>
    <w:rsid w:val="00C04E4A"/>
    <w:rsid w:val="00C13A64"/>
    <w:rsid w:val="00C20AD9"/>
    <w:rsid w:val="00C278E8"/>
    <w:rsid w:val="00C27E1C"/>
    <w:rsid w:val="00C80912"/>
    <w:rsid w:val="00C930D5"/>
    <w:rsid w:val="00C9364D"/>
    <w:rsid w:val="00CA6BED"/>
    <w:rsid w:val="00CB1F73"/>
    <w:rsid w:val="00CB6B87"/>
    <w:rsid w:val="00D365A4"/>
    <w:rsid w:val="00D40727"/>
    <w:rsid w:val="00D64A1D"/>
    <w:rsid w:val="00D72862"/>
    <w:rsid w:val="00DD1DB7"/>
    <w:rsid w:val="00E1064A"/>
    <w:rsid w:val="00E14245"/>
    <w:rsid w:val="00E24E98"/>
    <w:rsid w:val="00E761A5"/>
    <w:rsid w:val="00E811E0"/>
    <w:rsid w:val="00EA5D85"/>
    <w:rsid w:val="00F0017E"/>
    <w:rsid w:val="00F068F3"/>
    <w:rsid w:val="00F35EFD"/>
    <w:rsid w:val="00F86DFD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F9532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0972-2D9B-439D-A826-27B4252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2019-02-20T18:39:00Z</cp:lastPrinted>
  <dcterms:created xsi:type="dcterms:W3CDTF">2019-05-29T16:18:00Z</dcterms:created>
  <dcterms:modified xsi:type="dcterms:W3CDTF">2019-05-29T16:25:00Z</dcterms:modified>
</cp:coreProperties>
</file>