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31F0590F" w:rsidR="00E14245" w:rsidRPr="00296AAB" w:rsidRDefault="007B32AA" w:rsidP="00257B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de responsabilidade técnica extemporâneo com atividade paralisada.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377F2714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767CC"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99</w:t>
            </w:r>
            <w:r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67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5094323D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B32AA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1451D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5BE5A15F" w14:textId="136C95AD" w:rsidR="00AF3849" w:rsidRDefault="00AF3849" w:rsidP="00F35EFD">
      <w:pPr>
        <w:jc w:val="both"/>
        <w:rPr>
          <w:rFonts w:ascii="Arial" w:hAnsi="Arial" w:cs="Arial"/>
        </w:rPr>
      </w:pPr>
    </w:p>
    <w:p w14:paraId="4C596EE8" w14:textId="3670B1F0" w:rsidR="0031451D" w:rsidRDefault="005272FA" w:rsidP="0031451D">
      <w:pPr>
        <w:jc w:val="both"/>
        <w:rPr>
          <w:rFonts w:ascii="Arial" w:eastAsia="Times New Roman" w:hAnsi="Arial" w:cs="Arial"/>
          <w:lang w:eastAsia="pt-BR"/>
        </w:rPr>
      </w:pPr>
      <w:r w:rsidRPr="0031451D">
        <w:rPr>
          <w:rFonts w:ascii="Arial" w:eastAsia="Times New Roman" w:hAnsi="Arial" w:cs="Arial"/>
          <w:lang w:eastAsia="pt-BR"/>
        </w:rPr>
        <w:t xml:space="preserve">Considerando </w:t>
      </w:r>
      <w:r w:rsidR="0031451D" w:rsidRPr="0031451D">
        <w:rPr>
          <w:rFonts w:ascii="Arial" w:eastAsia="Times New Roman" w:hAnsi="Arial" w:cs="Arial"/>
          <w:lang w:eastAsia="pt-BR"/>
        </w:rPr>
        <w:t xml:space="preserve">o artigo 2º da Resolução 91 do CAU/BR que estabelece </w:t>
      </w:r>
      <w:r w:rsidR="0031451D">
        <w:rPr>
          <w:rFonts w:ascii="Arial" w:eastAsia="Times New Roman" w:hAnsi="Arial" w:cs="Arial"/>
          <w:lang w:eastAsia="pt-BR"/>
        </w:rPr>
        <w:t>a necessidade de efetuar o Registro de Responsabilidade Técnica “</w:t>
      </w:r>
      <w:r w:rsidR="0031451D" w:rsidRPr="0031451D">
        <w:rPr>
          <w:rFonts w:ascii="Arial" w:eastAsia="Times New Roman" w:hAnsi="Arial" w:cs="Arial"/>
          <w:i/>
          <w:lang w:eastAsia="pt-BR"/>
        </w:rPr>
        <w:t>I – previamente ao início da atividade técnica, quando se tratar das atividades listadas no item 2 do art. 3° da Resolução CAU/BR n° 21, de 5 de abril de 2012;</w:t>
      </w:r>
      <w:r w:rsidR="0031451D">
        <w:rPr>
          <w:rFonts w:ascii="Arial" w:eastAsia="Times New Roman" w:hAnsi="Arial" w:cs="Arial"/>
          <w:i/>
          <w:lang w:eastAsia="pt-BR"/>
        </w:rPr>
        <w:t xml:space="preserve"> ” </w:t>
      </w:r>
      <w:r w:rsidR="0031451D" w:rsidRPr="0031451D">
        <w:rPr>
          <w:rFonts w:ascii="Arial" w:eastAsia="Times New Roman" w:hAnsi="Arial" w:cs="Arial"/>
          <w:lang w:eastAsia="pt-BR"/>
        </w:rPr>
        <w:t>(EXECUÇÃO)</w:t>
      </w:r>
      <w:r w:rsidR="0031451D" w:rsidRPr="0031451D">
        <w:rPr>
          <w:rFonts w:ascii="Arial" w:eastAsia="Times New Roman" w:hAnsi="Arial" w:cs="Arial"/>
          <w:i/>
          <w:lang w:eastAsia="pt-BR"/>
        </w:rPr>
        <w:t xml:space="preserve"> </w:t>
      </w:r>
      <w:r w:rsidR="0031451D">
        <w:rPr>
          <w:rFonts w:ascii="Arial" w:eastAsia="Times New Roman" w:hAnsi="Arial" w:cs="Arial"/>
          <w:i/>
          <w:lang w:eastAsia="pt-BR"/>
        </w:rPr>
        <w:t>“</w:t>
      </w:r>
      <w:r w:rsidR="0031451D" w:rsidRPr="0031451D">
        <w:rPr>
          <w:rFonts w:ascii="Arial" w:eastAsia="Times New Roman" w:hAnsi="Arial" w:cs="Arial"/>
          <w:i/>
          <w:lang w:eastAsia="pt-BR"/>
        </w:rPr>
        <w:t>II – antes ou durante o período de realização da atividade técnica, quando se tratar das atividades listadas nos itens 1 e 3 a 7 do art. 3° da Resolução CAU/BR n° 21, de 2012.</w:t>
      </w:r>
      <w:r w:rsidR="0031451D" w:rsidRPr="0031451D">
        <w:rPr>
          <w:rFonts w:ascii="Arial" w:eastAsia="Times New Roman" w:hAnsi="Arial" w:cs="Arial"/>
          <w:lang w:eastAsia="pt-BR"/>
        </w:rPr>
        <w:t xml:space="preserve"> ”</w:t>
      </w:r>
      <w:r w:rsidR="0031451D">
        <w:rPr>
          <w:rFonts w:ascii="Arial" w:eastAsia="Times New Roman" w:hAnsi="Arial" w:cs="Arial"/>
          <w:lang w:eastAsia="pt-BR"/>
        </w:rPr>
        <w:t xml:space="preserve"> (DEMAIS ATIVIDADES)</w:t>
      </w:r>
      <w:r w:rsidR="0031451D" w:rsidRPr="0031451D">
        <w:rPr>
          <w:rFonts w:ascii="Arial" w:eastAsia="Times New Roman" w:hAnsi="Arial" w:cs="Arial"/>
          <w:lang w:eastAsia="pt-BR"/>
        </w:rPr>
        <w:t xml:space="preserve">; </w:t>
      </w:r>
    </w:p>
    <w:p w14:paraId="1C6721C7" w14:textId="3B877DC0" w:rsidR="004F4820" w:rsidRDefault="004F4820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036785A3" w14:textId="3ADDCA9B" w:rsidR="004D0E3A" w:rsidRDefault="004F4820" w:rsidP="0031451D">
      <w:pPr>
        <w:jc w:val="both"/>
      </w:pPr>
      <w:r>
        <w:rPr>
          <w:rFonts w:ascii="Arial" w:eastAsia="Times New Roman" w:hAnsi="Arial" w:cs="Arial"/>
          <w:lang w:eastAsia="pt-BR"/>
        </w:rPr>
        <w:t xml:space="preserve">Considerando que a baixa do Registro de Responsabilidade Técnica, regulamentado no artigo   </w:t>
      </w:r>
      <w:r w:rsidR="004D0E3A">
        <w:rPr>
          <w:rFonts w:ascii="Arial" w:eastAsia="Times New Roman" w:hAnsi="Arial" w:cs="Arial"/>
          <w:lang w:eastAsia="pt-BR"/>
        </w:rPr>
        <w:t xml:space="preserve">27 </w:t>
      </w:r>
      <w:r>
        <w:rPr>
          <w:rFonts w:ascii="Arial" w:eastAsia="Times New Roman" w:hAnsi="Arial" w:cs="Arial"/>
          <w:lang w:eastAsia="pt-BR"/>
        </w:rPr>
        <w:t>da Resolução 91 do CAU/BR</w:t>
      </w:r>
      <w:r w:rsidR="004D0E3A">
        <w:rPr>
          <w:rFonts w:ascii="Arial" w:eastAsia="Times New Roman" w:hAnsi="Arial" w:cs="Arial"/>
          <w:lang w:eastAsia="pt-BR"/>
        </w:rPr>
        <w:t>, significa que “</w:t>
      </w:r>
      <w:r w:rsidR="004D0E3A" w:rsidRPr="004D0E3A">
        <w:rPr>
          <w:rFonts w:ascii="Arial" w:eastAsia="Times New Roman" w:hAnsi="Arial" w:cs="Arial"/>
          <w:i/>
          <w:lang w:eastAsia="pt-BR"/>
        </w:rPr>
        <w:t>se encerra a participação do arquiteto e urbanista na atividade técnica por ele registrada.</w:t>
      </w:r>
      <w:r w:rsidR="004D0E3A">
        <w:t xml:space="preserve"> ”</w:t>
      </w:r>
      <w:r w:rsidR="00AB3301">
        <w:t>;</w:t>
      </w:r>
    </w:p>
    <w:p w14:paraId="5FDC6A68" w14:textId="25EAFA17" w:rsidR="004D0E3A" w:rsidRDefault="004D0E3A" w:rsidP="0031451D">
      <w:pPr>
        <w:jc w:val="both"/>
      </w:pPr>
    </w:p>
    <w:p w14:paraId="428903D2" w14:textId="0BC50457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  <w:r w:rsidRPr="004D0E3A">
        <w:rPr>
          <w:rFonts w:ascii="Arial" w:eastAsia="Times New Roman" w:hAnsi="Arial" w:cs="Arial"/>
          <w:lang w:eastAsia="pt-BR"/>
        </w:rPr>
        <w:t>Considerando que a Resolução 91 do CAU/BR tem a previsão de baixa por atividade interrompida, conforme disposto no seu artigo 30:</w:t>
      </w:r>
      <w:r>
        <w:t xml:space="preserve"> “</w:t>
      </w:r>
      <w:r w:rsidRPr="004D0E3A">
        <w:rPr>
          <w:rFonts w:ascii="Arial" w:eastAsia="Times New Roman" w:hAnsi="Arial" w:cs="Arial"/>
          <w:i/>
          <w:lang w:eastAsia="pt-BR"/>
        </w:rPr>
        <w:t>Art. 30. Além da baixa de RRT motivada por conclusão da atividade técnica que o constitui, o RRT deverá ser baixado: I – por interrupção da atividade técnica, se ocorrer uma das seguintes situações: (...) c) paralisação da atividade técnica;</w:t>
      </w:r>
      <w:r>
        <w:rPr>
          <w:rFonts w:ascii="Arial" w:eastAsia="Times New Roman" w:hAnsi="Arial" w:cs="Arial"/>
          <w:i/>
          <w:lang w:eastAsia="pt-BR"/>
        </w:rPr>
        <w:t xml:space="preserve"> (...)</w:t>
      </w:r>
      <w:r>
        <w:t>”</w:t>
      </w:r>
      <w:r w:rsidR="00AB3301">
        <w:rPr>
          <w:rFonts w:ascii="Arial" w:eastAsia="Times New Roman" w:hAnsi="Arial" w:cs="Arial"/>
          <w:lang w:eastAsia="pt-BR"/>
        </w:rPr>
        <w:t>;</w:t>
      </w:r>
      <w:r w:rsidRPr="004D0E3A">
        <w:rPr>
          <w:rFonts w:ascii="Arial" w:eastAsia="Times New Roman" w:hAnsi="Arial" w:cs="Arial"/>
          <w:lang w:eastAsia="pt-BR"/>
        </w:rPr>
        <w:t xml:space="preserve"> </w:t>
      </w:r>
    </w:p>
    <w:p w14:paraId="36D0BAD8" w14:textId="009CC478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1929EB77" w14:textId="7CF26B3F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RRT Extemporâneo</w:t>
      </w:r>
      <w:r w:rsidR="00AB3301">
        <w:rPr>
          <w:rFonts w:ascii="Arial" w:eastAsia="Times New Roman" w:hAnsi="Arial" w:cs="Arial"/>
          <w:lang w:eastAsia="pt-BR"/>
        </w:rPr>
        <w:t xml:space="preserve"> é aquele efetuado em desconformidade com o artigo 2º da Resolução 91 do CAU/BR, frequentemente efetuado após a conclusão da atividade técnica;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C4462D9" w14:textId="77777777" w:rsidR="004D0E3A" w:rsidRDefault="004D0E3A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547CC9FD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25DD988" w14:textId="77777777" w:rsidR="00F97888" w:rsidRDefault="00F97888" w:rsidP="004A507D">
      <w:pPr>
        <w:jc w:val="both"/>
        <w:rPr>
          <w:rFonts w:ascii="Arial" w:eastAsia="Times New Roman" w:hAnsi="Arial" w:cs="Arial"/>
          <w:lang w:eastAsia="pt-BR"/>
        </w:rPr>
      </w:pPr>
    </w:p>
    <w:p w14:paraId="4661BFAB" w14:textId="59BFCD8C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5B3AD322" w14:textId="3F9B1449" w:rsidR="00257BF3" w:rsidRDefault="00AB3301" w:rsidP="00362F7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421E6F">
        <w:rPr>
          <w:rFonts w:ascii="Arial" w:hAnsi="Arial" w:cs="Arial"/>
        </w:rPr>
        <w:t>Esclare</w:t>
      </w:r>
      <w:r w:rsidR="00421E6F" w:rsidRPr="00421E6F">
        <w:rPr>
          <w:rFonts w:ascii="Arial" w:hAnsi="Arial" w:cs="Arial"/>
        </w:rPr>
        <w:t xml:space="preserve">cer à Gerência Técnica que o </w:t>
      </w:r>
      <w:r w:rsidRPr="00421E6F">
        <w:rPr>
          <w:rFonts w:ascii="Arial" w:hAnsi="Arial" w:cs="Arial"/>
        </w:rPr>
        <w:t>RRT Extemporâneo</w:t>
      </w:r>
      <w:r w:rsidR="00421E6F" w:rsidRPr="00421E6F">
        <w:rPr>
          <w:rFonts w:ascii="Arial" w:hAnsi="Arial" w:cs="Arial"/>
        </w:rPr>
        <w:t>,</w:t>
      </w:r>
      <w:r w:rsidRPr="00421E6F">
        <w:rPr>
          <w:rFonts w:ascii="Arial" w:hAnsi="Arial" w:cs="Arial"/>
        </w:rPr>
        <w:t xml:space="preserve"> registrado após a conclusão da atividade técnica</w:t>
      </w:r>
      <w:r w:rsidR="00421E6F" w:rsidRPr="00421E6F">
        <w:rPr>
          <w:rFonts w:ascii="Arial" w:hAnsi="Arial" w:cs="Arial"/>
        </w:rPr>
        <w:t>, poderá ter o período de paralisação da atividade informada no campo “descrição” do RRT, sendo a</w:t>
      </w:r>
      <w:r w:rsidR="00421E6F">
        <w:rPr>
          <w:rFonts w:ascii="Arial" w:hAnsi="Arial" w:cs="Arial"/>
        </w:rPr>
        <w:t>s</w:t>
      </w:r>
      <w:r w:rsidR="00421E6F" w:rsidRPr="00421E6F">
        <w:rPr>
          <w:rFonts w:ascii="Arial" w:hAnsi="Arial" w:cs="Arial"/>
        </w:rPr>
        <w:t xml:space="preserve"> data</w:t>
      </w:r>
      <w:r w:rsidR="00421E6F">
        <w:rPr>
          <w:rFonts w:ascii="Arial" w:hAnsi="Arial" w:cs="Arial"/>
        </w:rPr>
        <w:t>s</w:t>
      </w:r>
      <w:r w:rsidR="00421E6F" w:rsidRPr="00421E6F">
        <w:rPr>
          <w:rFonts w:ascii="Arial" w:hAnsi="Arial" w:cs="Arial"/>
        </w:rPr>
        <w:t xml:space="preserve"> </w:t>
      </w:r>
      <w:r w:rsidR="00F97888">
        <w:rPr>
          <w:rFonts w:ascii="Arial" w:hAnsi="Arial" w:cs="Arial"/>
        </w:rPr>
        <w:t xml:space="preserve">de </w:t>
      </w:r>
      <w:r w:rsidR="00421E6F" w:rsidRPr="00421E6F">
        <w:rPr>
          <w:rFonts w:ascii="Arial" w:hAnsi="Arial" w:cs="Arial"/>
        </w:rPr>
        <w:t>início e</w:t>
      </w:r>
      <w:r w:rsidR="00F97888">
        <w:rPr>
          <w:rFonts w:ascii="Arial" w:hAnsi="Arial" w:cs="Arial"/>
        </w:rPr>
        <w:t xml:space="preserve"> de</w:t>
      </w:r>
      <w:r w:rsidR="00421E6F" w:rsidRPr="00421E6F">
        <w:rPr>
          <w:rFonts w:ascii="Arial" w:hAnsi="Arial" w:cs="Arial"/>
        </w:rPr>
        <w:t xml:space="preserve"> fim informadas como o período total para a conclusão da atividade técnica pelo profissional responsável;</w:t>
      </w:r>
    </w:p>
    <w:p w14:paraId="3B66093A" w14:textId="77777777" w:rsidR="00F97888" w:rsidRPr="00421E6F" w:rsidRDefault="00F97888" w:rsidP="00F97888">
      <w:pPr>
        <w:pStyle w:val="PargrafodaLista"/>
        <w:jc w:val="both"/>
        <w:rPr>
          <w:rFonts w:ascii="Arial" w:hAnsi="Arial" w:cs="Arial"/>
        </w:rPr>
      </w:pPr>
    </w:p>
    <w:p w14:paraId="7B663324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3BB5B9BB" w14:textId="2BBED3C1" w:rsidR="00617CA5" w:rsidRPr="006767CC" w:rsidRDefault="002A0985" w:rsidP="002442D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  <w:bookmarkStart w:id="0" w:name="_GoBack"/>
      <w:bookmarkEnd w:id="0"/>
    </w:p>
    <w:p w14:paraId="33913233" w14:textId="77777777" w:rsidR="006767CC" w:rsidRDefault="006767CC" w:rsidP="006767C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lastRenderedPageBreak/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14:paraId="643FA8AA" w14:textId="77777777" w:rsidR="006767CC" w:rsidRDefault="006767CC" w:rsidP="006767CC">
      <w:pPr>
        <w:jc w:val="center"/>
        <w:rPr>
          <w:rFonts w:ascii="Arial" w:hAnsi="Arial" w:cs="Arial"/>
        </w:rPr>
      </w:pPr>
    </w:p>
    <w:p w14:paraId="7F4C2A3E" w14:textId="34CE68F4" w:rsidR="006767CC" w:rsidRDefault="006767CC" w:rsidP="006767CC">
      <w:pPr>
        <w:rPr>
          <w:rFonts w:ascii="Arial" w:hAnsi="Arial" w:cs="Arial"/>
        </w:rPr>
      </w:pPr>
    </w:p>
    <w:p w14:paraId="27FD8A2E" w14:textId="77777777" w:rsidR="006767CC" w:rsidRDefault="006767CC" w:rsidP="006767CC">
      <w:pPr>
        <w:jc w:val="center"/>
        <w:rPr>
          <w:rFonts w:ascii="Arial" w:hAnsi="Arial" w:cs="Arial"/>
        </w:rPr>
      </w:pPr>
    </w:p>
    <w:p w14:paraId="44AAD1B7" w14:textId="77777777" w:rsidR="006767CC" w:rsidRDefault="006767CC" w:rsidP="00676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14:paraId="683C2C80" w14:textId="77777777" w:rsidR="006767CC" w:rsidRDefault="006767CC" w:rsidP="006767CC">
      <w:pPr>
        <w:jc w:val="both"/>
        <w:rPr>
          <w:rFonts w:ascii="Arial" w:hAnsi="Arial" w:cs="Arial"/>
        </w:rPr>
      </w:pPr>
    </w:p>
    <w:p w14:paraId="67840E3A" w14:textId="6D9D3B52" w:rsidR="006767CC" w:rsidRDefault="006767CC" w:rsidP="006767CC">
      <w:pPr>
        <w:jc w:val="both"/>
        <w:rPr>
          <w:rFonts w:ascii="Arial" w:hAnsi="Arial" w:cs="Arial"/>
        </w:rPr>
      </w:pPr>
    </w:p>
    <w:p w14:paraId="43F99B18" w14:textId="77777777" w:rsidR="006767CC" w:rsidRDefault="006767CC" w:rsidP="006767CC">
      <w:pPr>
        <w:jc w:val="both"/>
        <w:rPr>
          <w:rFonts w:ascii="Arial" w:hAnsi="Arial" w:cs="Arial"/>
        </w:rPr>
      </w:pPr>
    </w:p>
    <w:p w14:paraId="5022BE35" w14:textId="77777777" w:rsidR="006767CC" w:rsidRDefault="006767CC" w:rsidP="006767CC">
      <w:pPr>
        <w:jc w:val="both"/>
        <w:rPr>
          <w:rFonts w:ascii="Arial" w:hAnsi="Arial" w:cs="Arial"/>
        </w:rPr>
      </w:pPr>
    </w:p>
    <w:p w14:paraId="5FE7C9C0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A33A410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0A29E770" w14:textId="77777777" w:rsidR="006767CC" w:rsidRDefault="006767CC" w:rsidP="006767CC">
      <w:pPr>
        <w:jc w:val="both"/>
        <w:rPr>
          <w:rFonts w:ascii="Arial" w:hAnsi="Arial" w:cs="Arial"/>
          <w:b/>
          <w:lang w:eastAsia="pt-BR"/>
        </w:rPr>
      </w:pPr>
    </w:p>
    <w:p w14:paraId="04A05D34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7243922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63B08B64" w14:textId="77777777" w:rsidR="006767CC" w:rsidRDefault="006767CC" w:rsidP="006767CC">
      <w:pPr>
        <w:jc w:val="both"/>
        <w:rPr>
          <w:rFonts w:ascii="Arial" w:hAnsi="Arial" w:cs="Arial"/>
          <w:b/>
          <w:lang w:eastAsia="pt-BR"/>
        </w:rPr>
      </w:pPr>
    </w:p>
    <w:p w14:paraId="06E06475" w14:textId="77777777" w:rsidR="006767CC" w:rsidRPr="00C1520C" w:rsidRDefault="006767CC" w:rsidP="006767C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697A89E9" w14:textId="77777777" w:rsidR="006767CC" w:rsidRDefault="006767CC" w:rsidP="006767C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14:paraId="1D098C55" w14:textId="77777777" w:rsidR="006767CC" w:rsidRDefault="006767CC" w:rsidP="006767CC">
      <w:pPr>
        <w:jc w:val="both"/>
        <w:rPr>
          <w:rFonts w:ascii="Arial" w:hAnsi="Arial" w:cs="Arial"/>
          <w:b/>
        </w:rPr>
      </w:pPr>
    </w:p>
    <w:p w14:paraId="125966CF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AC9C315" w14:textId="77777777" w:rsidR="006767CC" w:rsidRDefault="006767CC" w:rsidP="0067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7BA22AE9" w14:textId="394F5589" w:rsidR="00464786" w:rsidRDefault="00464786" w:rsidP="00464786">
      <w:pPr>
        <w:jc w:val="both"/>
        <w:rPr>
          <w:rFonts w:ascii="Arial" w:hAnsi="Arial" w:cs="Arial"/>
        </w:rPr>
      </w:pPr>
    </w:p>
    <w:sectPr w:rsidR="00464786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A1FE" w14:textId="77777777" w:rsidR="00464ECB" w:rsidRDefault="00464ECB" w:rsidP="00480328">
      <w:r>
        <w:separator/>
      </w:r>
    </w:p>
  </w:endnote>
  <w:endnote w:type="continuationSeparator" w:id="0">
    <w:p w14:paraId="03DCE818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7E74" w14:textId="77777777" w:rsidR="00464ECB" w:rsidRDefault="00464ECB" w:rsidP="00480328">
      <w:r>
        <w:separator/>
      </w:r>
    </w:p>
  </w:footnote>
  <w:footnote w:type="continuationSeparator" w:id="0">
    <w:p w14:paraId="2A629C56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A0584"/>
    <w:rsid w:val="000C7A1B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1E6F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D0E3A"/>
    <w:rsid w:val="004E2B4A"/>
    <w:rsid w:val="004F4820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6AE1"/>
    <w:rsid w:val="0060785E"/>
    <w:rsid w:val="00613261"/>
    <w:rsid w:val="00617CA5"/>
    <w:rsid w:val="006355AF"/>
    <w:rsid w:val="00650C7A"/>
    <w:rsid w:val="00667B87"/>
    <w:rsid w:val="006767CC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B32AA"/>
    <w:rsid w:val="007C5856"/>
    <w:rsid w:val="007D218F"/>
    <w:rsid w:val="00815437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B3301"/>
    <w:rsid w:val="00AC0F8C"/>
    <w:rsid w:val="00AC1426"/>
    <w:rsid w:val="00AC15EA"/>
    <w:rsid w:val="00AC54B0"/>
    <w:rsid w:val="00AC6701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B126B"/>
    <w:rsid w:val="00EB7032"/>
    <w:rsid w:val="00EE5290"/>
    <w:rsid w:val="00EF7F1B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97888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4A6B-F981-4FE8-8327-A2667F4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2019-08-28T17:53:00Z</dcterms:created>
  <dcterms:modified xsi:type="dcterms:W3CDTF">2019-08-28T17:53:00Z</dcterms:modified>
</cp:coreProperties>
</file>