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da Deliberação 161/2017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81A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491B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52FC" w:rsidRPr="00796F11" w:rsidRDefault="00A252FC" w:rsidP="00A252FC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</w:t>
      </w:r>
      <w:r w:rsidR="00E73DF3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</w:t>
      </w:r>
      <w:r w:rsidR="00E73DF3">
        <w:rPr>
          <w:rFonts w:ascii="Arial" w:hAnsi="Arial" w:cs="Arial"/>
        </w:rPr>
        <w:t xml:space="preserve">competência para apreciar e deliberar sobre as rotinas administrativas, os instrumentos normativos de gestão; </w:t>
      </w:r>
      <w:r>
        <w:rPr>
          <w:rFonts w:ascii="Arial" w:hAnsi="Arial" w:cs="Arial"/>
        </w:rPr>
        <w:t xml:space="preserve"> </w:t>
      </w:r>
    </w:p>
    <w:p w:rsidR="00A252FC" w:rsidRPr="00D5488C" w:rsidRDefault="00A252FC" w:rsidP="00A252FC">
      <w:pPr>
        <w:jc w:val="both"/>
        <w:rPr>
          <w:rFonts w:ascii="Arial" w:hAnsi="Arial" w:cs="Arial"/>
          <w:highlight w:val="yellow"/>
        </w:rPr>
      </w:pPr>
    </w:p>
    <w:p w:rsidR="00A252FC" w:rsidRDefault="00E73DF3" w:rsidP="00A252FC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281A4C">
        <w:rPr>
          <w:rFonts w:ascii="Arial" w:hAnsi="Arial" w:cs="Arial"/>
          <w:sz w:val="22"/>
          <w:szCs w:val="22"/>
        </w:rPr>
        <w:t xml:space="preserve">a vigência do novo Regimento Interno do CAU/SC, aprovada pela Deliberação Plenária nº 228, de 09 de março de 2018, cujo artigo 8º estabelece que </w:t>
      </w:r>
      <w:r w:rsidR="00281A4C">
        <w:rPr>
          <w:rFonts w:ascii="Arial" w:hAnsi="Arial" w:cs="Arial"/>
          <w:i/>
          <w:sz w:val="22"/>
          <w:szCs w:val="22"/>
        </w:rPr>
        <w:t xml:space="preserve">“Os empregados públicos de livre provimento e demissão do CAU/SC serão regidos pela Consolidação das Leis do Trabalho e pelos atos normativos próprios do Conselho de Arquitetura e Urbanismo do Brasil (CAU/BR), os quais, respeitando a legislação aplicável, fixarão os casos, condições percentuais mínimos a serem preenchidos por empregados do quadro </w:t>
      </w:r>
      <w:r w:rsidR="004C4015">
        <w:rPr>
          <w:rFonts w:ascii="Arial" w:hAnsi="Arial" w:cs="Arial"/>
          <w:i/>
          <w:sz w:val="22"/>
          <w:szCs w:val="22"/>
        </w:rPr>
        <w:t>efetivo</w:t>
      </w:r>
      <w:r w:rsidR="00281A4C">
        <w:rPr>
          <w:rFonts w:ascii="Arial" w:hAnsi="Arial" w:cs="Arial"/>
          <w:i/>
          <w:sz w:val="22"/>
          <w:szCs w:val="22"/>
        </w:rPr>
        <w:t>”</w:t>
      </w:r>
      <w:r w:rsidR="00275EEE">
        <w:rPr>
          <w:rFonts w:ascii="Arial" w:hAnsi="Arial" w:cs="Arial"/>
          <w:sz w:val="22"/>
          <w:szCs w:val="22"/>
        </w:rPr>
        <w:t xml:space="preserve">, e inciso LIII do artigo 149 que confere ao Presidente do CAU/SC competência para </w:t>
      </w:r>
      <w:r w:rsidR="00275EEE">
        <w:rPr>
          <w:rFonts w:ascii="Arial" w:hAnsi="Arial" w:cs="Arial"/>
          <w:i/>
          <w:sz w:val="22"/>
          <w:szCs w:val="22"/>
        </w:rPr>
        <w:t xml:space="preserve">“designar empregado público efetivo do CAU/SC, ou não, para exercer empregos públicos e de provimento em comissão, relacionados à direção, à chefia e ao assessoramento”. </w:t>
      </w:r>
    </w:p>
    <w:p w:rsidR="00275EEE" w:rsidRDefault="00275EEE" w:rsidP="00A252FC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275EEE" w:rsidRDefault="00275EEE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Deliberação Plenária nº 161, de 14 de julho de 2017,</w:t>
      </w:r>
      <w:r w:rsidR="007C2E3F">
        <w:rPr>
          <w:rFonts w:ascii="Arial" w:hAnsi="Arial" w:cs="Arial"/>
          <w:sz w:val="22"/>
          <w:szCs w:val="22"/>
        </w:rPr>
        <w:t xml:space="preserve"> que disciplina os empregos públicos efetivos e em comissão no CAU/SC, </w:t>
      </w:r>
      <w:r>
        <w:rPr>
          <w:rFonts w:ascii="Arial" w:hAnsi="Arial" w:cs="Arial"/>
          <w:sz w:val="22"/>
          <w:szCs w:val="22"/>
        </w:rPr>
        <w:t>é anterior à vigência do novo Regimento Interno do CAU/SC, portanto,</w:t>
      </w:r>
      <w:r w:rsidR="00F10EB8">
        <w:rPr>
          <w:rFonts w:ascii="Arial" w:hAnsi="Arial" w:cs="Arial"/>
          <w:sz w:val="22"/>
          <w:szCs w:val="22"/>
        </w:rPr>
        <w:t xml:space="preserve"> os </w:t>
      </w:r>
      <w:r>
        <w:rPr>
          <w:rFonts w:ascii="Arial" w:hAnsi="Arial" w:cs="Arial"/>
          <w:sz w:val="22"/>
          <w:szCs w:val="22"/>
        </w:rPr>
        <w:t xml:space="preserve">dispositivos contrários </w:t>
      </w:r>
      <w:r w:rsidR="007C2E3F">
        <w:rPr>
          <w:rFonts w:ascii="Arial" w:hAnsi="Arial" w:cs="Arial"/>
          <w:sz w:val="22"/>
          <w:szCs w:val="22"/>
        </w:rPr>
        <w:t>ao regramento máximo de funcionamento do CAU/SC (Re</w:t>
      </w:r>
      <w:r w:rsidR="00F10EB8">
        <w:rPr>
          <w:rFonts w:ascii="Arial" w:hAnsi="Arial" w:cs="Arial"/>
          <w:sz w:val="22"/>
          <w:szCs w:val="22"/>
        </w:rPr>
        <w:t xml:space="preserve">gimento Interno), encontram-se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revogados tacitamente;</w:t>
      </w:r>
    </w:p>
    <w:p w:rsidR="00275EEE" w:rsidRDefault="00275EEE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5EEE" w:rsidRDefault="00275EEE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nomeação de emprego em comissão é ato discricionário do Gestor Presidente, desde que respeitado os requisitos legais, tendo este inclusive a </w:t>
      </w:r>
      <w:r w:rsidR="007C2E3F">
        <w:rPr>
          <w:rFonts w:ascii="Arial" w:hAnsi="Arial" w:cs="Arial"/>
          <w:sz w:val="22"/>
          <w:szCs w:val="22"/>
        </w:rPr>
        <w:t>liberalidade</w:t>
      </w:r>
      <w:r>
        <w:rPr>
          <w:rFonts w:ascii="Arial" w:hAnsi="Arial" w:cs="Arial"/>
          <w:sz w:val="22"/>
          <w:szCs w:val="22"/>
        </w:rPr>
        <w:t xml:space="preserve"> de nomear o preenchimento de vaga existente ou não, podendo a qualquer tempo exonerar sem justificativa prévia; </w:t>
      </w:r>
    </w:p>
    <w:p w:rsidR="00275EEE" w:rsidRDefault="00275EEE" w:rsidP="00275E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5EEE" w:rsidRDefault="00275EEE" w:rsidP="00275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26, de 27 de março de 2019, da Comissão de Exercício Profissional e Deliberação nº 37, de 21 de maio de 2019, do Conselho Diretor, as quais deliberam pelo chamamento do novo advogado aprovado em concurso público para </w:t>
      </w:r>
      <w:r w:rsidR="007C2E3F">
        <w:rPr>
          <w:rFonts w:ascii="Arial" w:hAnsi="Arial" w:cs="Arial"/>
        </w:rPr>
        <w:t>reposição do quadro de funcionários do CAU/SC;</w:t>
      </w:r>
    </w:p>
    <w:p w:rsidR="007C2E3F" w:rsidRDefault="007C2E3F" w:rsidP="00275EEE">
      <w:pPr>
        <w:jc w:val="both"/>
        <w:rPr>
          <w:rFonts w:ascii="Arial" w:hAnsi="Arial" w:cs="Arial"/>
        </w:rPr>
      </w:pPr>
    </w:p>
    <w:p w:rsidR="007C2E3F" w:rsidRDefault="007C2E3F" w:rsidP="00275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chamamentos de </w:t>
      </w:r>
      <w:r w:rsidR="00EE5FFD">
        <w:rPr>
          <w:rFonts w:ascii="Arial" w:hAnsi="Arial" w:cs="Arial"/>
        </w:rPr>
        <w:t>pessoal aprovados</w:t>
      </w:r>
      <w:r>
        <w:rPr>
          <w:rFonts w:ascii="Arial" w:hAnsi="Arial" w:cs="Arial"/>
        </w:rPr>
        <w:t xml:space="preserve"> no concurso para reposição do quadro de </w:t>
      </w:r>
      <w:r w:rsidR="004C4015">
        <w:rPr>
          <w:rFonts w:ascii="Arial" w:hAnsi="Arial" w:cs="Arial"/>
        </w:rPr>
        <w:t>funcionários a</w:t>
      </w:r>
      <w:r>
        <w:rPr>
          <w:rFonts w:ascii="Arial" w:hAnsi="Arial" w:cs="Arial"/>
        </w:rPr>
        <w:t xml:space="preserve"> partir da vigência da Deliberação nº 161/2017, os quais alteraram o número de vagas constantes no anexo da mesma Deliberação; </w:t>
      </w:r>
    </w:p>
    <w:p w:rsidR="00281A4C" w:rsidRDefault="00281A4C" w:rsidP="00281A4C">
      <w:pPr>
        <w:rPr>
          <w:rFonts w:ascii="Arial" w:hAnsi="Arial" w:cs="Arial"/>
        </w:rPr>
      </w:pPr>
    </w:p>
    <w:p w:rsidR="00A252FC" w:rsidRDefault="00A252FC" w:rsidP="00A252F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52FC" w:rsidRPr="00F35EFD" w:rsidRDefault="00A252FC" w:rsidP="00A252FC">
      <w:pPr>
        <w:jc w:val="both"/>
        <w:rPr>
          <w:rFonts w:ascii="Arial" w:hAnsi="Arial" w:cs="Arial"/>
          <w:b/>
        </w:rPr>
      </w:pPr>
    </w:p>
    <w:p w:rsidR="00A252FC" w:rsidRDefault="00A252FC" w:rsidP="00A252F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7C2E3F">
        <w:rPr>
          <w:rFonts w:ascii="Arial" w:hAnsi="Arial" w:cs="Arial"/>
        </w:rPr>
        <w:t xml:space="preserve">Alterar o § 4º do artigo 5º da Deliberação nº </w:t>
      </w:r>
      <w:r w:rsidR="004C4015">
        <w:rPr>
          <w:rFonts w:ascii="Arial" w:hAnsi="Arial" w:cs="Arial"/>
        </w:rPr>
        <w:t>161, de</w:t>
      </w:r>
      <w:r w:rsidR="007C2E3F">
        <w:rPr>
          <w:rFonts w:ascii="Arial" w:hAnsi="Arial" w:cs="Arial"/>
        </w:rPr>
        <w:t xml:space="preserve"> 14 de julho de </w:t>
      </w:r>
      <w:r w:rsidR="004C4015">
        <w:rPr>
          <w:rFonts w:ascii="Arial" w:hAnsi="Arial" w:cs="Arial"/>
        </w:rPr>
        <w:t>2017, que</w:t>
      </w:r>
      <w:r w:rsidR="007C2E3F">
        <w:rPr>
          <w:rFonts w:ascii="Arial" w:hAnsi="Arial" w:cs="Arial"/>
        </w:rPr>
        <w:t xml:space="preserve"> passa a vigorar com a seguinte redação:</w:t>
      </w:r>
    </w:p>
    <w:p w:rsidR="007C2E3F" w:rsidRDefault="007C2E3F" w:rsidP="00A252FC">
      <w:pPr>
        <w:jc w:val="both"/>
        <w:rPr>
          <w:rFonts w:ascii="Arial" w:hAnsi="Arial" w:cs="Arial"/>
        </w:rPr>
      </w:pPr>
    </w:p>
    <w:p w:rsidR="007C2E3F" w:rsidRDefault="007C2E3F" w:rsidP="00A252F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“Art. 5º (...)</w:t>
      </w:r>
    </w:p>
    <w:p w:rsidR="007C2E3F" w:rsidRDefault="00EE5FFD" w:rsidP="00A252F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§4º (</w:t>
      </w:r>
      <w:proofErr w:type="gramStart"/>
      <w:r>
        <w:rPr>
          <w:rFonts w:ascii="Arial" w:hAnsi="Arial" w:cs="Arial"/>
          <w:i/>
        </w:rPr>
        <w:t>Revogado)”</w:t>
      </w:r>
      <w:proofErr w:type="gramEnd"/>
    </w:p>
    <w:p w:rsidR="004C4015" w:rsidRPr="007C2E3F" w:rsidRDefault="004C4015" w:rsidP="00A252FC">
      <w:pPr>
        <w:jc w:val="both"/>
        <w:rPr>
          <w:rFonts w:ascii="Arial" w:hAnsi="Arial" w:cs="Arial"/>
          <w:i/>
        </w:rPr>
      </w:pPr>
    </w:p>
    <w:p w:rsidR="007C2E3F" w:rsidRDefault="00A252FC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7C2E3F">
        <w:rPr>
          <w:rFonts w:ascii="Arial" w:hAnsi="Arial" w:cs="Arial"/>
        </w:rPr>
        <w:t xml:space="preserve">Alterar o Anexo I da Deliberação nº 161, de 14 de julho de 2017, que passa a vigorar com a seguinte redação: </w:t>
      </w:r>
    </w:p>
    <w:p w:rsidR="007C2E3F" w:rsidRDefault="007C2E3F" w:rsidP="007A161F">
      <w:pPr>
        <w:jc w:val="both"/>
        <w:rPr>
          <w:rFonts w:ascii="Arial" w:hAnsi="Arial" w:cs="Arial"/>
        </w:rPr>
      </w:pPr>
    </w:p>
    <w:p w:rsidR="00EE5FFD" w:rsidRPr="00EE5FFD" w:rsidRDefault="00EE5FFD" w:rsidP="00EE5FFD">
      <w:pPr>
        <w:jc w:val="both"/>
        <w:rPr>
          <w:rFonts w:ascii="Arial" w:hAnsi="Arial" w:cs="Arial"/>
          <w:i/>
          <w:color w:val="221F1F"/>
          <w:spacing w:val="-3"/>
        </w:rPr>
      </w:pPr>
      <w:r w:rsidRPr="00EE5FFD">
        <w:rPr>
          <w:rFonts w:ascii="Arial" w:hAnsi="Arial" w:cs="Arial"/>
          <w:i/>
        </w:rPr>
        <w:t xml:space="preserve">“ANEXO I: QUADRO DE VAGAS DOS </w:t>
      </w:r>
      <w:r w:rsidRPr="00EE5FFD">
        <w:rPr>
          <w:rFonts w:ascii="Arial" w:hAnsi="Arial" w:cs="Arial"/>
          <w:i/>
          <w:color w:val="221F1F"/>
          <w:spacing w:val="-3"/>
        </w:rPr>
        <w:t>EMPREGOS DE PROVIMENTO EFETIVO EM CARREIRA DO CAU/SC</w:t>
      </w:r>
    </w:p>
    <w:tbl>
      <w:tblPr>
        <w:tblpPr w:leftFromText="141" w:rightFromText="141" w:vertAnchor="text" w:horzAnchor="page" w:tblpX="2462" w:tblpY="22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EE5FFD" w:rsidRPr="00EE5FFD" w:rsidTr="000C5B21">
        <w:trPr>
          <w:trHeight w:val="4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EE5FFD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Cargos/Empregos Públicos 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  <w:hideMark/>
          </w:tcPr>
          <w:p w:rsidR="00EE5FFD" w:rsidRPr="00EE5FFD" w:rsidRDefault="00EE5FFD" w:rsidP="000C5B21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  <w:r w:rsidRPr="00EE5FFD"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  <w:t xml:space="preserve">Nº de Vagas </w:t>
            </w:r>
          </w:p>
          <w:p w:rsidR="00EE5FFD" w:rsidRPr="00EE5FFD" w:rsidRDefault="00EE5FFD" w:rsidP="000C5B21">
            <w:pPr>
              <w:rPr>
                <w:rFonts w:ascii="Arial" w:eastAsia="Times New Roman" w:hAnsi="Arial" w:cs="Arial"/>
                <w:bCs/>
                <w:i/>
                <w:color w:val="FFFFFF"/>
                <w:lang w:eastAsia="pt-BR"/>
              </w:rPr>
            </w:pPr>
          </w:p>
        </w:tc>
      </w:tr>
      <w:tr w:rsidR="00EE5FFD" w:rsidRPr="00EE5FFD" w:rsidTr="000C5B21"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Analista Administrativo e Financeiro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4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5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Analista de Compras, Contratos e Licitações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8F68ED" w:rsidRDefault="00985C5F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8F68ED">
              <w:rPr>
                <w:rFonts w:ascii="Arial" w:eastAsia="Times New Roman" w:hAnsi="Arial" w:cs="Arial"/>
                <w:i/>
                <w:lang w:eastAsia="pt-BR"/>
              </w:rPr>
              <w:t>1</w:t>
            </w: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Advogado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8F68ED">
              <w:rPr>
                <w:rFonts w:ascii="Arial" w:eastAsia="Times New Roman" w:hAnsi="Arial" w:cs="Arial"/>
                <w:i/>
                <w:lang w:eastAsia="pt-BR"/>
              </w:rPr>
              <w:t>3</w:t>
            </w: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574"/>
        </w:trPr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Arquiteto e Urbanista (Analista Técnico*, Arquiteto Fiscal*)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8F68ED">
              <w:rPr>
                <w:rFonts w:ascii="Arial" w:eastAsia="Times New Roman" w:hAnsi="Arial" w:cs="Arial"/>
                <w:i/>
                <w:lang w:eastAsia="pt-BR"/>
              </w:rPr>
              <w:t>9</w:t>
            </w: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Técnico em Secretariado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8F68ED">
              <w:rPr>
                <w:rFonts w:ascii="Arial" w:eastAsia="Times New Roman" w:hAnsi="Arial" w:cs="Arial"/>
                <w:i/>
                <w:lang w:eastAsia="pt-BR"/>
              </w:rPr>
              <w:t>2</w:t>
            </w: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3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i/>
                <w:lang w:eastAsia="pt-BR"/>
              </w:rPr>
              <w:t>Assistente Administrativo (Assistente Técnico*)</w:t>
            </w:r>
          </w:p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EE5FFD" w:rsidRDefault="00EE5FFD" w:rsidP="000C5B21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  <w:r w:rsidRPr="008F68ED">
              <w:rPr>
                <w:rFonts w:ascii="Arial" w:eastAsia="Times New Roman" w:hAnsi="Arial" w:cs="Arial"/>
                <w:i/>
                <w:lang w:eastAsia="pt-BR"/>
              </w:rPr>
              <w:t>11</w:t>
            </w:r>
          </w:p>
          <w:p w:rsidR="00EE5FFD" w:rsidRPr="008F68E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EE5FFD" w:rsidRPr="008F68ED" w:rsidRDefault="00EE5FFD" w:rsidP="005E319D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300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281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rPr>
                <w:rFonts w:ascii="Arial" w:eastAsia="Times New Roman" w:hAnsi="Arial" w:cs="Arial"/>
                <w:i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center"/>
              <w:rPr>
                <w:rFonts w:ascii="Arial" w:eastAsia="Times New Roman" w:hAnsi="Arial" w:cs="Arial"/>
                <w:i/>
                <w:lang w:eastAsia="pt-BR"/>
              </w:rPr>
            </w:pPr>
          </w:p>
        </w:tc>
      </w:tr>
      <w:tr w:rsidR="00EE5FFD" w:rsidRPr="00EE5FFD" w:rsidTr="000C5B21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0C5B21">
            <w:pPr>
              <w:jc w:val="right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bCs/>
                <w:i/>
                <w:lang w:eastAsia="pt-BR"/>
              </w:rPr>
              <w:t>Total de Vagas: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FD" w:rsidRPr="00EE5FFD" w:rsidRDefault="00EE5FFD" w:rsidP="00EE5FFD">
            <w:pPr>
              <w:jc w:val="center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EE5FFD">
              <w:rPr>
                <w:rFonts w:ascii="Arial" w:eastAsia="Times New Roman" w:hAnsi="Arial" w:cs="Arial"/>
                <w:bCs/>
                <w:i/>
                <w:lang w:eastAsia="pt-BR"/>
              </w:rPr>
              <w:t>3</w:t>
            </w:r>
            <w:r w:rsidR="008F68ED">
              <w:rPr>
                <w:rFonts w:ascii="Arial" w:eastAsia="Times New Roman" w:hAnsi="Arial" w:cs="Arial"/>
                <w:bCs/>
                <w:i/>
                <w:lang w:eastAsia="pt-BR"/>
              </w:rPr>
              <w:t>0</w:t>
            </w:r>
          </w:p>
        </w:tc>
      </w:tr>
    </w:tbl>
    <w:p w:rsidR="00EE5FFD" w:rsidRPr="00EE5FFD" w:rsidRDefault="00EE5FFD" w:rsidP="00EE5FFD">
      <w:pPr>
        <w:spacing w:before="120" w:after="120" w:line="360" w:lineRule="auto"/>
        <w:ind w:right="-1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  <w:color w:val="221F1F"/>
          <w:spacing w:val="-3"/>
        </w:rPr>
      </w:pPr>
    </w:p>
    <w:p w:rsidR="00EE5FFD" w:rsidRPr="00EE5FFD" w:rsidRDefault="00EE5FFD" w:rsidP="00EE5FFD">
      <w:pPr>
        <w:spacing w:before="120" w:after="120" w:line="360" w:lineRule="auto"/>
        <w:ind w:right="-1"/>
        <w:jc w:val="center"/>
        <w:rPr>
          <w:rFonts w:ascii="Arial" w:hAnsi="Arial" w:cs="Arial"/>
          <w:i/>
        </w:rPr>
      </w:pPr>
    </w:p>
    <w:p w:rsidR="007C2E3F" w:rsidRPr="004C4015" w:rsidRDefault="00EE5FFD" w:rsidP="004C4015">
      <w:pPr>
        <w:spacing w:before="120" w:after="120" w:line="360" w:lineRule="auto"/>
        <w:ind w:right="-1"/>
        <w:rPr>
          <w:rFonts w:ascii="Arial" w:hAnsi="Arial" w:cs="Arial"/>
          <w:i/>
        </w:rPr>
      </w:pPr>
      <w:r w:rsidRPr="00EE5FFD">
        <w:rPr>
          <w:rFonts w:ascii="Arial" w:hAnsi="Arial" w:cs="Arial"/>
          <w:i/>
        </w:rPr>
        <w:t xml:space="preserve">              * Nomenclatura de Empregos/cargos existentes, oriundos do PCCS de 2013</w:t>
      </w:r>
      <w:r>
        <w:rPr>
          <w:rFonts w:ascii="Arial" w:hAnsi="Arial" w:cs="Arial"/>
          <w:i/>
        </w:rPr>
        <w:t>”</w:t>
      </w:r>
    </w:p>
    <w:p w:rsidR="007A161F" w:rsidRPr="00781DC0" w:rsidRDefault="00EE5FFD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7A161F" w:rsidRPr="00781DC0">
        <w:rPr>
          <w:rFonts w:ascii="Arial" w:hAnsi="Arial" w:cs="Arial"/>
        </w:rPr>
        <w:t>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491B77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491B77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491B77">
        <w:rPr>
          <w:rFonts w:ascii="Arial" w:hAnsi="Arial" w:cs="Arial"/>
        </w:rPr>
        <w:t xml:space="preserve">Everson Martins, </w:t>
      </w:r>
      <w:r w:rsidR="00D2149D">
        <w:rPr>
          <w:rFonts w:ascii="Arial" w:hAnsi="Arial" w:cs="Arial"/>
        </w:rPr>
        <w:t>Jaqueli</w:t>
      </w:r>
      <w:r w:rsidR="004C4015">
        <w:rPr>
          <w:rFonts w:ascii="Arial" w:hAnsi="Arial" w:cs="Arial"/>
        </w:rPr>
        <w:t>ne Andrade e Silvya Helena Capra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4CA">
        <w:rPr>
          <w:rFonts w:ascii="Arial" w:hAnsi="Arial" w:cs="Arial"/>
        </w:rPr>
        <w:t>__________AUSENTE_________</w:t>
      </w:r>
      <w:r>
        <w:rPr>
          <w:rFonts w:ascii="Arial" w:hAnsi="Arial" w:cs="Arial"/>
        </w:rPr>
        <w:t>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4C4015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Pr="004C4015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sectPr w:rsidR="00781DC0" w:rsidRPr="004C4015" w:rsidSect="004C4015">
      <w:headerReference w:type="default" r:id="rId8"/>
      <w:footerReference w:type="even" r:id="rId9"/>
      <w:footerReference w:type="default" r:id="rId10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4CA"/>
    <w:rsid w:val="0001453E"/>
    <w:rsid w:val="00021D96"/>
    <w:rsid w:val="000225FC"/>
    <w:rsid w:val="000229DE"/>
    <w:rsid w:val="000410A1"/>
    <w:rsid w:val="0004346A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7324E"/>
    <w:rsid w:val="00275EEE"/>
    <w:rsid w:val="00281A4C"/>
    <w:rsid w:val="00287ECF"/>
    <w:rsid w:val="002A29FF"/>
    <w:rsid w:val="002B7051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91B77"/>
    <w:rsid w:val="004A26AF"/>
    <w:rsid w:val="004C4015"/>
    <w:rsid w:val="004D5694"/>
    <w:rsid w:val="004F27DD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319D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68ED"/>
    <w:rsid w:val="0092329E"/>
    <w:rsid w:val="009461AD"/>
    <w:rsid w:val="00952B80"/>
    <w:rsid w:val="00962629"/>
    <w:rsid w:val="00965396"/>
    <w:rsid w:val="009716F1"/>
    <w:rsid w:val="0098375F"/>
    <w:rsid w:val="00985C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E3FCA"/>
    <w:rsid w:val="00AE7C56"/>
    <w:rsid w:val="00AF07AA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0EB8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4AD30A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4F9D-1F53-4EE1-B167-B8F8C69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2018-06-05T16:20:00Z</cp:lastPrinted>
  <dcterms:created xsi:type="dcterms:W3CDTF">2019-07-01T23:27:00Z</dcterms:created>
  <dcterms:modified xsi:type="dcterms:W3CDTF">2019-07-02T18:31:00Z</dcterms:modified>
</cp:coreProperties>
</file>