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1A0FB239" w:rsidR="004C3DB1" w:rsidRPr="00D953BF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i/>
          <w:iCs/>
        </w:rPr>
      </w:pPr>
      <w:r>
        <w:rPr>
          <w:rFonts w:ascii="Arial" w:hAnsi="Arial" w:cs="Arial"/>
          <w:b/>
          <w:sz w:val="22"/>
          <w:szCs w:val="22"/>
        </w:rPr>
        <w:t>SÚMULA DA 0</w:t>
      </w:r>
      <w:r w:rsidR="00D953B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ª REUNIÃO ORDINÁRIA CEF-CAU/SC </w:t>
      </w:r>
      <w:r w:rsidR="00D953B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="00D953BF">
        <w:rPr>
          <w:rFonts w:ascii="Arial" w:hAnsi="Arial" w:cs="Arial"/>
          <w:b/>
          <w:sz w:val="22"/>
          <w:szCs w:val="22"/>
        </w:rPr>
        <w:t xml:space="preserve"> - </w:t>
      </w:r>
      <w:r w:rsidR="00D953BF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44382464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5BF3B935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09h – 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35min</w:t>
            </w:r>
          </w:p>
        </w:tc>
      </w:tr>
      <w:tr w:rsidR="004C3DB1" w14:paraId="29B3B985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32328C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32328C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32328C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7FDE3FED" w:rsidR="004C3DB1" w:rsidRDefault="00D953BF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32328C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32328C">
        <w:tc>
          <w:tcPr>
            <w:tcW w:w="663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32328C">
        <w:trPr>
          <w:trHeight w:val="301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1DB5971" w14:textId="77777777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39A4F348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09B7FDC4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4C3DB1" w14:paraId="68072C62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EFCA137" w14:textId="77777777" w:rsidR="004C3DB1" w:rsidRDefault="004C3DB1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082C7CD6" w14:textId="26657548" w:rsidR="004C3DB1" w:rsidRDefault="00CA437B" w:rsidP="0032328C">
            <w:pPr>
              <w:pStyle w:val="SemEspaamento"/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6C6AC62F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D953BF" w14:paraId="54E3D4EA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6F5524DA" w14:textId="17530BD0" w:rsidR="00D953BF" w:rsidRDefault="00D953BF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073C04C" w14:textId="5ED8EC3B" w:rsidR="00D953BF" w:rsidRDefault="00D953BF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  <w:shd w:val="clear" w:color="auto" w:fill="auto"/>
          </w:tcPr>
          <w:p w14:paraId="63A4FC3F" w14:textId="616F12B0" w:rsidR="00D953BF" w:rsidRDefault="00D953BF" w:rsidP="003232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4B6DF885" w14:textId="5986F2D3" w:rsidR="00D953BF" w:rsidRDefault="00D953BF" w:rsidP="003232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10h30</w:t>
            </w:r>
          </w:p>
        </w:tc>
      </w:tr>
    </w:tbl>
    <w:p w14:paraId="763E8CB5" w14:textId="77777777" w:rsidR="004C3DB1" w:rsidRDefault="004C3DB1" w:rsidP="004C3DB1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B6625A" w14:textId="77777777" w:rsidTr="0032328C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8E52D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26CDF10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7BBA3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0D8C86A3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151624C0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4A380E" w14:paraId="1F90D7EE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095D" w14:textId="77777777" w:rsidR="004A380E" w:rsidRDefault="004A380E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C3DB1" w14:paraId="64D3BBE3" w14:textId="77777777" w:rsidTr="00CA437B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6315C71F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DB09" w14:textId="102DB0FF" w:rsidR="004C3DB1" w:rsidRDefault="00D953BF" w:rsidP="0032328C">
            <w:pPr>
              <w:pStyle w:val="SemEspaamento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C3DB1" w14:paraId="794BE550" w14:textId="77777777" w:rsidTr="004A380E">
        <w:trPr>
          <w:trHeight w:hRule="exact"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29DBE894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4BEE" w14:textId="3EA359ED" w:rsidR="004C3DB1" w:rsidRDefault="00D953BF" w:rsidP="0032328C"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</w:t>
            </w:r>
          </w:p>
        </w:tc>
      </w:tr>
    </w:tbl>
    <w:p w14:paraId="1DB6470D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32328C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323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F0F8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súmula para publicação.</w:t>
            </w: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32328C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12D74EF1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AF6005" w14:paraId="3788447D" w14:textId="77777777" w:rsidTr="00D9273E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B6F54DB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2235" w14:textId="4D41055D" w:rsidR="00AF6005" w:rsidRDefault="00AF6005" w:rsidP="00AF6005">
            <w:pPr>
              <w:pStyle w:val="PargrafodaLista"/>
              <w:suppressLineNumbers/>
              <w:tabs>
                <w:tab w:val="left" w:pos="0"/>
              </w:tabs>
              <w:ind w:left="0"/>
            </w:pPr>
            <w:r w:rsidRPr="00AF6005">
              <w:rPr>
                <w:rFonts w:ascii="Arial" w:hAnsi="Arial" w:cs="Arial"/>
                <w:b/>
                <w:sz w:val="22"/>
                <w:szCs w:val="22"/>
              </w:rPr>
              <w:t>Coordenador Rodrigo Althoff</w:t>
            </w:r>
          </w:p>
        </w:tc>
      </w:tr>
      <w:tr w:rsidR="00AF6005" w14:paraId="617FFA07" w14:textId="77777777" w:rsidTr="00AF6005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B84535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B4E9" w14:textId="741CF8D2" w:rsidR="00AF6005" w:rsidRPr="005402C9" w:rsidRDefault="00AF6005" w:rsidP="00D9273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que fosse incluída na súmula desta reunião justificativa de ausência </w:t>
            </w:r>
            <w:r w:rsidR="00E403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parte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dessa reunião </w:t>
            </w:r>
            <w:r w:rsidR="00CA6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devido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compromisso de trabalho com a UNISUL</w:t>
            </w:r>
            <w:r w:rsidR="00E403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68FC2048" w14:textId="77777777" w:rsidR="00AF6005" w:rsidRDefault="00AF6005" w:rsidP="004C3DB1">
      <w:pPr>
        <w:rPr>
          <w:rFonts w:ascii="Arial" w:hAnsi="Arial" w:cs="Arial"/>
          <w:b/>
          <w:sz w:val="22"/>
          <w:szCs w:val="22"/>
        </w:rPr>
      </w:pPr>
    </w:p>
    <w:p w14:paraId="6D3E3646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4C3DB1" w14:paraId="25D61875" w14:textId="77777777" w:rsidTr="0032328C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B4FDD0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DB11" w14:textId="77777777" w:rsidR="004C3DB1" w:rsidRDefault="004C3DB1" w:rsidP="004A380E">
            <w:pPr>
              <w:ind w:right="-72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Marina</w:t>
            </w:r>
          </w:p>
        </w:tc>
      </w:tr>
      <w:tr w:rsidR="004C3DB1" w14:paraId="75125495" w14:textId="77777777" w:rsidTr="00E40373">
        <w:trPr>
          <w:trHeight w:val="37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1750EF5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874D" w14:textId="0EAC67CA" w:rsidR="004C3DB1" w:rsidRPr="005402C9" w:rsidRDefault="005402C9" w:rsidP="00FD339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E403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andamento do Edital de Chamada Pública </w:t>
            </w:r>
            <w:r w:rsidR="007A46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Enfrentamento da COVID 19. A comissão de seleção já se reuniu e selecionou os projetos que participarão do Edital e os projetos selecionados estão na fase do envio do plano de trabalho. Também informou à CEF sobre a chegada, na sede do CAU/SC, dos livros da Lina Bo </w:t>
            </w:r>
            <w:r w:rsidR="007A46B4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Bard</w:t>
            </w:r>
            <w:r w:rsidR="00CE6A2C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7A46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solicitados pela comissão para realização do projeto ‘Honra ao Mérito’. Ainda relatou que</w:t>
            </w:r>
            <w:r w:rsidR="00CE6A2C" w:rsidRPr="00FD33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A46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025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possibilidade de realização de </w:t>
            </w:r>
            <w:r w:rsid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reunião conjunta com a CEP, </w:t>
            </w:r>
            <w:r w:rsidR="00FD339B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9B2AC2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horário e</w:t>
            </w:r>
            <w:r w:rsidR="008025D0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D339B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8025D0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 iria</w:t>
            </w:r>
            <w:r w:rsidR="00CE6A2C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8025D0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definid</w:t>
            </w:r>
            <w:r w:rsidR="00FD339B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 w:rsidR="008025D0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pelos coordenadores da CEF e CEP diretamente.</w:t>
            </w:r>
            <w:r w:rsidR="008025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9363EB2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0035C" w14:textId="77777777" w:rsidR="004C3DB1" w:rsidRDefault="004C3DB1" w:rsidP="004A380E">
            <w:pPr>
              <w:pStyle w:val="PargrafodaLista"/>
              <w:suppressLineNumbers/>
              <w:tabs>
                <w:tab w:val="left" w:pos="0"/>
              </w:tabs>
              <w:ind w:left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8DDF" w14:textId="77777777" w:rsidR="00D953BF" w:rsidRPr="00D953BF" w:rsidRDefault="00D953BF" w:rsidP="00D953B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3BF">
              <w:rPr>
                <w:rFonts w:ascii="Arial" w:hAnsi="Arial" w:cs="Arial"/>
                <w:b/>
                <w:sz w:val="22"/>
                <w:szCs w:val="22"/>
              </w:rPr>
              <w:t>Encontro de Coordenadores:</w:t>
            </w:r>
          </w:p>
          <w:p w14:paraId="6D039A05" w14:textId="77777777" w:rsidR="00D953BF" w:rsidRPr="00D953BF" w:rsidRDefault="00D953BF" w:rsidP="00D953B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3BF">
              <w:rPr>
                <w:rFonts w:ascii="Arial" w:hAnsi="Arial" w:cs="Arial"/>
                <w:b/>
                <w:sz w:val="22"/>
                <w:szCs w:val="22"/>
              </w:rPr>
              <w:t>a) Apresentação Relatório do 3º Encontro Coordenadores</w:t>
            </w:r>
          </w:p>
          <w:p w14:paraId="0372A7DF" w14:textId="07165EC4" w:rsidR="004C3DB1" w:rsidRDefault="00D953BF" w:rsidP="009B2A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3BF">
              <w:rPr>
                <w:rFonts w:ascii="Arial" w:hAnsi="Arial" w:cs="Arial"/>
                <w:b/>
                <w:sz w:val="22"/>
                <w:szCs w:val="22"/>
              </w:rPr>
              <w:t xml:space="preserve">b) Estruturação </w:t>
            </w:r>
            <w:r w:rsidR="00FD339B" w:rsidRPr="009B2AC2">
              <w:rPr>
                <w:rFonts w:ascii="Arial" w:hAnsi="Arial" w:cs="Arial"/>
                <w:b/>
                <w:sz w:val="22"/>
                <w:szCs w:val="22"/>
              </w:rPr>
              <w:t>próximo encontro</w:t>
            </w:r>
            <w:r w:rsidR="00FD339B" w:rsidRPr="00FD33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53BF">
              <w:rPr>
                <w:rFonts w:ascii="Arial" w:hAnsi="Arial" w:cs="Arial"/>
                <w:b/>
                <w:sz w:val="22"/>
                <w:szCs w:val="22"/>
              </w:rPr>
              <w:t>- Participação de palestran</w:t>
            </w:r>
            <w:r w:rsidR="00FD339B">
              <w:rPr>
                <w:rFonts w:ascii="Arial" w:hAnsi="Arial" w:cs="Arial"/>
                <w:b/>
                <w:sz w:val="22"/>
                <w:szCs w:val="22"/>
              </w:rPr>
              <w:t>te, participação de professores</w:t>
            </w:r>
          </w:p>
        </w:tc>
      </w:tr>
      <w:tr w:rsidR="004C3DB1" w14:paraId="17A9392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5569CA1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C42044A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9E4F8" w14:textId="22D1AE61" w:rsidR="004C3DB1" w:rsidRPr="002524E2" w:rsidRDefault="00AD09D4" w:rsidP="009B2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lido o relatório, feito pela assessora Marina, </w:t>
            </w:r>
            <w:r w:rsidR="006C2B41" w:rsidRPr="009B2AC2">
              <w:rPr>
                <w:rFonts w:ascii="Arial" w:hAnsi="Arial" w:cs="Arial"/>
                <w:sz w:val="22"/>
                <w:szCs w:val="22"/>
              </w:rPr>
              <w:t>do encontro anterior</w:t>
            </w:r>
            <w:r w:rsidR="006C2B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para a CEF</w:t>
            </w:r>
            <w:r w:rsidR="006C2B4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 ser enviado aos coordenadores de ensino para o próximo evento. A CEF solicitou a assessoria encaminhar o relatório para leitura e para complementação</w:t>
            </w:r>
            <w:r w:rsidR="00DE173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caso julgue necessário. </w:t>
            </w:r>
            <w:r w:rsidR="00E832CC">
              <w:rPr>
                <w:rFonts w:ascii="Arial" w:hAnsi="Arial" w:cs="Arial"/>
                <w:sz w:val="22"/>
                <w:szCs w:val="22"/>
              </w:rPr>
              <w:t>Também</w:t>
            </w:r>
            <w:r w:rsidR="002524E2">
              <w:rPr>
                <w:rFonts w:ascii="Arial" w:hAnsi="Arial" w:cs="Arial"/>
                <w:sz w:val="22"/>
                <w:szCs w:val="22"/>
              </w:rPr>
              <w:t xml:space="preserve"> foi tratado do</w:t>
            </w:r>
            <w:r w:rsidR="00DE17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739" w:rsidRPr="009B2AC2">
              <w:rPr>
                <w:rFonts w:ascii="Arial" w:hAnsi="Arial" w:cs="Arial"/>
                <w:sz w:val="22"/>
                <w:szCs w:val="22"/>
              </w:rPr>
              <w:t>segundo dia de encontro do</w:t>
            </w:r>
            <w:r w:rsidR="00252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4E2" w:rsidRPr="002524E2">
              <w:rPr>
                <w:rFonts w:ascii="Arial" w:hAnsi="Arial" w:cs="Arial"/>
                <w:sz w:val="22"/>
                <w:szCs w:val="22"/>
              </w:rPr>
              <w:t>3º Encontro de Coordenadores</w:t>
            </w:r>
            <w:r w:rsidR="002524E2">
              <w:rPr>
                <w:rFonts w:ascii="Arial" w:hAnsi="Arial" w:cs="Arial"/>
                <w:sz w:val="22"/>
                <w:szCs w:val="22"/>
              </w:rPr>
              <w:t xml:space="preserve">, evento que será realizado no formato </w:t>
            </w:r>
            <w:r w:rsidR="002524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online </w:t>
            </w:r>
            <w:r w:rsidR="002524E2">
              <w:rPr>
                <w:rFonts w:ascii="Arial" w:hAnsi="Arial" w:cs="Arial"/>
                <w:sz w:val="22"/>
                <w:szCs w:val="22"/>
              </w:rPr>
              <w:t xml:space="preserve">e que tem como tema o ensino da Arquitetura e Urbanismo em tempos de isolamento social. </w:t>
            </w:r>
            <w:r w:rsidR="00994258" w:rsidRPr="009B2AC2">
              <w:rPr>
                <w:rFonts w:ascii="Arial" w:hAnsi="Arial" w:cs="Arial"/>
                <w:sz w:val="22"/>
                <w:szCs w:val="22"/>
              </w:rPr>
              <w:t xml:space="preserve">O evento será também transmitido ao vivo por rede social do CAU/SC, para que professores possam acompanhar. </w:t>
            </w:r>
            <w:r w:rsidR="002524E2" w:rsidRPr="009B2AC2">
              <w:rPr>
                <w:rFonts w:ascii="Arial" w:hAnsi="Arial" w:cs="Arial"/>
                <w:sz w:val="22"/>
                <w:szCs w:val="22"/>
              </w:rPr>
              <w:t>Para realização desse</w:t>
            </w:r>
            <w:r w:rsidR="002524E2">
              <w:rPr>
                <w:rFonts w:ascii="Arial" w:hAnsi="Arial" w:cs="Arial"/>
                <w:sz w:val="22"/>
                <w:szCs w:val="22"/>
              </w:rPr>
              <w:t xml:space="preserve"> evento a CEF, por meio da Deliberação nº 48 de 2020, resolveu por c</w:t>
            </w:r>
            <w:r w:rsidR="002524E2" w:rsidRPr="002524E2">
              <w:rPr>
                <w:rFonts w:ascii="Arial" w:hAnsi="Arial" w:cs="Arial"/>
                <w:sz w:val="22"/>
                <w:szCs w:val="22"/>
              </w:rPr>
              <w:t>onvidar representante da ABEA – Associação Brasileira de Ensino de Arquitetura e Urbanismo, para participar do segundo dia de encontro do 3º Encontro de Coordenadores, a ser realizado em 12 de agosto de 2020, com fala de aproximadamente 20 minutos</w:t>
            </w:r>
            <w:r w:rsidR="002524E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524E2" w:rsidRPr="002524E2">
              <w:rPr>
                <w:rFonts w:ascii="Arial" w:hAnsi="Arial" w:cs="Arial"/>
                <w:sz w:val="22"/>
                <w:szCs w:val="22"/>
              </w:rPr>
              <w:t xml:space="preserve">Convidar </w:t>
            </w:r>
            <w:r w:rsidR="002524E2">
              <w:rPr>
                <w:rFonts w:ascii="Arial" w:hAnsi="Arial" w:cs="Arial"/>
                <w:sz w:val="22"/>
                <w:szCs w:val="22"/>
              </w:rPr>
              <w:t xml:space="preserve">também </w:t>
            </w:r>
            <w:r w:rsidR="002524E2" w:rsidRPr="002524E2">
              <w:rPr>
                <w:rFonts w:ascii="Arial" w:hAnsi="Arial" w:cs="Arial"/>
                <w:sz w:val="22"/>
                <w:szCs w:val="22"/>
              </w:rPr>
              <w:t>representante da ACEARQ – Associação Catarinense de Escolas de Arquitetura e Urbanismo, para participar do segundo dia de encontro do 3º Encontro de Coordenadores, a ser realizado em 12 de agosto de 2020, com fala de aproximadamente 20 minutos</w:t>
            </w:r>
            <w:r w:rsidR="002524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BAB7103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14951C78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B1B49A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D33" w14:textId="68BC1B75" w:rsidR="004C3DB1" w:rsidRDefault="008070D2" w:rsidP="004A380E">
            <w:pPr>
              <w:pStyle w:val="Default"/>
              <w:jc w:val="both"/>
            </w:pPr>
            <w:r w:rsidRPr="008070D2">
              <w:rPr>
                <w:rFonts w:ascii="Arial" w:hAnsi="Arial" w:cs="Arial"/>
                <w:b/>
                <w:sz w:val="22"/>
                <w:szCs w:val="22"/>
              </w:rPr>
              <w:t>O ensino remoto nas IES do estado</w:t>
            </w:r>
          </w:p>
        </w:tc>
      </w:tr>
      <w:tr w:rsidR="004C3DB1" w14:paraId="3C8783C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771F1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F86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34E9540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D65D4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4DCB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3ABACE5" w14:textId="77777777" w:rsidTr="008070D2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648ED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EE8B8" w14:textId="2B45CB83" w:rsidR="004C3DB1" w:rsidRDefault="00D71FA1" w:rsidP="004A3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assunto foi levado e debatido em reunião no Conselho Diretor conforme informado pela Conselheira Jaqueline. Segundo orientação da Presidência esse</w:t>
            </w:r>
            <w:r w:rsidR="001D1E4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assunto</w:t>
            </w:r>
            <w:r w:rsidR="001D1E4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deveria</w:t>
            </w:r>
            <w:r w:rsidR="001D1E40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ser tratado inicialmente na CEF, para depois ser</w:t>
            </w:r>
            <w:r w:rsidR="0076414B">
              <w:rPr>
                <w:rFonts w:ascii="Arial" w:hAnsi="Arial" w:cs="Arial"/>
                <w:sz w:val="22"/>
                <w:szCs w:val="22"/>
              </w:rPr>
              <w:t>em</w:t>
            </w:r>
            <w:r>
              <w:rPr>
                <w:rFonts w:ascii="Arial" w:hAnsi="Arial" w:cs="Arial"/>
                <w:sz w:val="22"/>
                <w:szCs w:val="22"/>
              </w:rPr>
              <w:t xml:space="preserve"> debatido</w:t>
            </w:r>
            <w:r w:rsidR="0076414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no âmbito do CAU/SC; que a CEF deve limitar esse debate pois não seria função do CAU/SC interferir no funcionamento de outras entidades; </w:t>
            </w:r>
            <w:r w:rsidR="001D1E40" w:rsidRPr="00BB1C3B">
              <w:rPr>
                <w:rFonts w:ascii="Arial" w:hAnsi="Arial" w:cs="Arial"/>
                <w:sz w:val="22"/>
                <w:szCs w:val="22"/>
              </w:rPr>
              <w:t>Já</w:t>
            </w:r>
            <w:r w:rsidR="001D1E40">
              <w:rPr>
                <w:rFonts w:ascii="Arial" w:hAnsi="Arial" w:cs="Arial"/>
                <w:sz w:val="22"/>
                <w:szCs w:val="22"/>
              </w:rPr>
              <w:t xml:space="preserve"> a Vice-Presidência ressaltou a importância de estar claro o papel do Conselheiro do CAU/SC junto ao órgãos em que participa como ASCOP, Reuniões da Rede, etc. como o conselheiro pode contribuir com os debates no espaço em que ele está participando e trocando informações.</w:t>
            </w:r>
            <w:r w:rsidR="007641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CAA869" w14:textId="0EDB2D05" w:rsidR="0076414B" w:rsidRDefault="0076414B" w:rsidP="003F6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CEF manifestou</w:t>
            </w:r>
            <w:r w:rsidR="003F6DBE">
              <w:rPr>
                <w:rFonts w:ascii="Arial" w:hAnsi="Arial" w:cs="Arial"/>
                <w:sz w:val="22"/>
                <w:szCs w:val="22"/>
              </w:rPr>
              <w:t>-se</w:t>
            </w:r>
            <w:r>
              <w:rPr>
                <w:rFonts w:ascii="Arial" w:hAnsi="Arial" w:cs="Arial"/>
                <w:sz w:val="22"/>
                <w:szCs w:val="22"/>
              </w:rPr>
              <w:t xml:space="preserve"> de acordo com a orientação d</w:t>
            </w:r>
            <w:r w:rsidR="00BC3D5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Presidência do CAU/SC e optou por não interferir no julgamento e funcionamento de outras entidades e sim contribuir na construção e orientação do ensino</w:t>
            </w:r>
            <w:r w:rsidR="003F6D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como </w:t>
            </w:r>
            <w:r w:rsidR="00BC3D59">
              <w:rPr>
                <w:rFonts w:ascii="Arial" w:hAnsi="Arial" w:cs="Arial"/>
                <w:sz w:val="22"/>
                <w:szCs w:val="22"/>
              </w:rPr>
              <w:t xml:space="preserve">tem feito com </w:t>
            </w:r>
            <w:r>
              <w:rPr>
                <w:rFonts w:ascii="Arial" w:hAnsi="Arial" w:cs="Arial"/>
                <w:sz w:val="22"/>
                <w:szCs w:val="22"/>
              </w:rPr>
              <w:t>a realização do encontro de coordenadores</w:t>
            </w:r>
            <w:r w:rsidR="003F6D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que busca fomentar o debate do ensino entre as instituições.</w:t>
            </w:r>
          </w:p>
        </w:tc>
      </w:tr>
    </w:tbl>
    <w:p w14:paraId="2C14A47C" w14:textId="470C78D9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08817D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F6F3F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89DF" w14:textId="79E353FC" w:rsidR="004C3DB1" w:rsidRDefault="008070D2" w:rsidP="004A380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70D2">
              <w:rPr>
                <w:rFonts w:ascii="Arial" w:hAnsi="Arial" w:cs="Arial"/>
                <w:b/>
                <w:sz w:val="22"/>
                <w:szCs w:val="22"/>
              </w:rPr>
              <w:t>Homologação Registros Profissionais</w:t>
            </w:r>
          </w:p>
        </w:tc>
      </w:tr>
      <w:tr w:rsidR="004C3DB1" w14:paraId="0FF732A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00849A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94AB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762852C9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95ECB9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5B88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3CE09DF2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3FCD5D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59F31" w14:textId="0AD8B3A9" w:rsidR="008070D2" w:rsidRDefault="008070D2" w:rsidP="00807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 w:rsidR="00434F87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CEF, foi deliberado pela homologação de </w:t>
            </w:r>
            <w:r w:rsidR="00434F87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PROVISÓRIO;</w:t>
            </w:r>
          </w:p>
          <w:p w14:paraId="15A382E1" w14:textId="612FE7D6" w:rsidR="004C3DB1" w:rsidRDefault="008070D2" w:rsidP="008070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 w:rsidR="00434F87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 foi deliberado pela homologação de </w:t>
            </w:r>
            <w:r w:rsidR="00434F87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DEFINITIVO.</w:t>
            </w:r>
          </w:p>
        </w:tc>
      </w:tr>
    </w:tbl>
    <w:p w14:paraId="10182D33" w14:textId="142B24F8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1DA2B6CF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A8AC0AB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0A02" w14:textId="737BD6BC" w:rsidR="004C3DB1" w:rsidRPr="008070D2" w:rsidRDefault="008070D2" w:rsidP="008070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Homologação de inclusão da titularidade complementar Engenheiro(a) de Segurança do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Trabalho</w:t>
            </w:r>
          </w:p>
        </w:tc>
      </w:tr>
      <w:tr w:rsidR="008D1744" w:rsidRPr="008D1744" w14:paraId="24E92E6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4BF300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0BA3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20CD89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0A501A1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2E6A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6F2F0E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82C4987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0965" w14:textId="77777777" w:rsidR="004C3DB1" w:rsidRDefault="001041F4" w:rsidP="004A38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51 foi aprovada a inclusão </w:t>
            </w:r>
            <w:r w:rsidRPr="001041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título do processo SICCAU nº 1110870/2020, analisado na Gerência Técnica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260D8188" w14:textId="4CBCFED3" w:rsidR="001041F4" w:rsidRPr="00A42098" w:rsidRDefault="001041F4" w:rsidP="004A38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da Deliberação nº 52/2020 foi aprovada a</w:t>
            </w:r>
            <w:r w:rsidRPr="001041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inclusão de título do processo SICCAU nº 1123259/2020, analisado na Gerência Técnica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720DFB1D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278A06E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D67735C" w14:textId="77777777" w:rsidR="004C3DB1" w:rsidRPr="00A83EAB" w:rsidRDefault="004C3DB1" w:rsidP="004A380E">
            <w:pPr>
              <w:jc w:val="both"/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5296" w14:textId="0059C4E8" w:rsidR="004C3DB1" w:rsidRPr="00A83EAB" w:rsidRDefault="008070D2" w:rsidP="004A380E">
            <w:pPr>
              <w:jc w:val="both"/>
            </w:pPr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Possibilidades para comprovação de protocolo de solicitação de diploma</w:t>
            </w:r>
          </w:p>
        </w:tc>
      </w:tr>
      <w:tr w:rsidR="008D1744" w:rsidRPr="008D1744" w14:paraId="77532BCB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536BD07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A6D5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42C4DDF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CC3F299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A822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2E7D4A1E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834C3B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3990" w14:textId="117EFE20" w:rsidR="004C3DB1" w:rsidRPr="00002B25" w:rsidRDefault="00002B25" w:rsidP="004A38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02B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Esse assunto chegou à CEF a partir de uma dúvida da Gerência Técnica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quanto </w:t>
            </w:r>
            <w:r w:rsidR="00245F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um dispositivo da resolução nº 18, de registro, sobre a documentação que pode ser aceita quanto a comprovação de solicitação de diploma. A CEF </w:t>
            </w:r>
            <w:r w:rsidR="00BD76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optou por encaminhar a minuta de deliberação apresentada pela assessoria para análise do Jurídico do CAU/SC e verificar a pertinência das sugestões elencadas pela CEF nesta reunião. Será pautado novamente na próxima reunião.</w:t>
            </w:r>
          </w:p>
        </w:tc>
      </w:tr>
    </w:tbl>
    <w:p w14:paraId="17911D98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04B82A6B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2908A4" w14:textId="77777777" w:rsidR="004C3DB1" w:rsidRPr="00FA7F04" w:rsidRDefault="004C3DB1" w:rsidP="004A380E">
            <w:pPr>
              <w:jc w:val="both"/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4CCE" w14:textId="2DDB4ADE" w:rsidR="004C3DB1" w:rsidRPr="00FA7F04" w:rsidRDefault="008070D2" w:rsidP="004A380E">
            <w:pPr>
              <w:jc w:val="both"/>
            </w:pPr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CAU nas Escolas</w:t>
            </w:r>
          </w:p>
        </w:tc>
      </w:tr>
      <w:tr w:rsidR="008D1744" w:rsidRPr="008D1744" w14:paraId="15D674F2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8400B77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8E5E" w14:textId="77777777" w:rsidR="004C3DB1" w:rsidRPr="00FA7F04" w:rsidRDefault="004C3DB1" w:rsidP="004A380E">
            <w:pPr>
              <w:jc w:val="both"/>
              <w:rPr>
                <w:bCs/>
              </w:rPr>
            </w:pPr>
            <w:r w:rsidRPr="00FA7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CEP</w:t>
            </w:r>
          </w:p>
        </w:tc>
      </w:tr>
      <w:tr w:rsidR="008D1744" w:rsidRPr="008D1744" w14:paraId="421E0678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F5119F7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FF75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4DF0C95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4EAF0B4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F21A" w14:textId="611B94CE" w:rsidR="004D36E5" w:rsidRDefault="00FA7F04" w:rsidP="004D36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</w:t>
            </w:r>
            <w:r w:rsidR="00BD76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informado pela</w:t>
            </w:r>
            <w:r w:rsidR="004D36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assessoria da CEF que, </w:t>
            </w:r>
            <w:r w:rsidR="004D36E5" w:rsidRPr="009B2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redução da equipe da Gerência Técnica e grande demanda por análises e atendimentos</w:t>
            </w:r>
            <w:r w:rsidR="004D36E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não foi possível realizar a edição da palestra para essa reunião. </w:t>
            </w:r>
          </w:p>
          <w:p w14:paraId="1420EB55" w14:textId="40B6FF5E" w:rsidR="004C3DB1" w:rsidRPr="004A380E" w:rsidRDefault="00BD7687" w:rsidP="004D36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CEF solicitou que esse ponto de pauta se mantenha nas próximas reuniões para aperfeiçoamento do assunto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969B214" w14:textId="77777777" w:rsidR="004C3DB1" w:rsidRDefault="004C3DB1" w:rsidP="004C3DB1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8D1744" w14:paraId="3346E7BE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5DEC6B7" w14:textId="7340A84B" w:rsidR="008070D2" w:rsidRPr="00FA7F04" w:rsidRDefault="008070D2" w:rsidP="009450A7">
            <w:pPr>
              <w:jc w:val="both"/>
            </w:pPr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421A" w14:textId="71AC7B5B" w:rsidR="008070D2" w:rsidRPr="00FA7F04" w:rsidRDefault="008070D2" w:rsidP="009450A7">
            <w:pPr>
              <w:jc w:val="both"/>
            </w:pPr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Solicitação de palestra para </w:t>
            </w:r>
            <w:proofErr w:type="spellStart"/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Unochapecó</w:t>
            </w:r>
            <w:proofErr w:type="spellEnd"/>
          </w:p>
        </w:tc>
      </w:tr>
      <w:tr w:rsidR="008070D2" w:rsidRPr="008D1744" w14:paraId="259389A2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2352716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4047" w14:textId="77777777" w:rsidR="008070D2" w:rsidRPr="00FA7F04" w:rsidRDefault="008070D2" w:rsidP="009450A7">
            <w:pPr>
              <w:jc w:val="both"/>
              <w:rPr>
                <w:bCs/>
              </w:rPr>
            </w:pPr>
            <w:r w:rsidRPr="00FA7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CEP</w:t>
            </w:r>
          </w:p>
        </w:tc>
      </w:tr>
      <w:tr w:rsidR="008070D2" w:rsidRPr="008D1744" w14:paraId="71DB130B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813DB47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FAF4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8D1744" w14:paraId="544021D1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C7673DF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3E6B" w14:textId="7C2BE5A5" w:rsidR="008070D2" w:rsidRDefault="008070D2" w:rsidP="00BE15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apresentada </w:t>
            </w:r>
            <w:r w:rsidR="00FD31AE" w:rsidRPr="009B2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comissão a solicitação recebida </w:t>
            </w:r>
            <w:r w:rsidR="00FD31AE" w:rsidRPr="009B2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</w:t>
            </w:r>
            <w:r w:rsidR="00FD31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professora </w:t>
            </w:r>
            <w:r w:rsidR="00B47CF7" w:rsidRPr="00B47C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Andressa Rocha</w:t>
            </w:r>
            <w:r w:rsidR="00B47C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proofErr w:type="spellStart"/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Unochapecó</w:t>
            </w:r>
            <w:proofErr w:type="spellEnd"/>
            <w:r w:rsidR="00B47C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CAU/SC proferir palestra </w:t>
            </w:r>
            <w:r w:rsidR="004346B1" w:rsidRP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sobre: </w:t>
            </w:r>
            <w:r w:rsidR="00FD31AE" w:rsidRP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legislação relativa à profissão do</w:t>
            </w:r>
            <w:r w:rsidR="004346B1" w:rsidRP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Arquiteto e Urbanista; regulamentação profissional; </w:t>
            </w:r>
            <w:r w:rsidR="00BE15FE" w:rsidRP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4346B1" w:rsidRP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onselho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rofissional: regimento e resoluções; Código de </w:t>
            </w:r>
            <w:r w:rsid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</w:t>
            </w:r>
            <w:r w:rsidR="004346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tica profissi</w:t>
            </w:r>
            <w:r w:rsidR="009B2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onal; responsabilidade técnica.</w:t>
            </w:r>
          </w:p>
          <w:p w14:paraId="67481AFC" w14:textId="3B15D6A7" w:rsidR="00BE15FE" w:rsidRPr="004A380E" w:rsidRDefault="00BE15FE" w:rsidP="009B2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9B2AC2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 CEF estabeleceu que a solicitação será atendida com palestra do projeto CAU nas Escolas, a ser realizado ao longo do semestre, e que a palestra mais adequada para essa solicitação seria a palestra da CED, que ainda está em estruturação. </w:t>
            </w:r>
            <w:r w:rsidRPr="009B2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Caso não seja possível que a CED ministre a palestra, solicitar à fiscalização.</w:t>
            </w:r>
            <w:r w:rsidRP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Antes de confirmar, verificar </w:t>
            </w:r>
            <w:r w:rsidR="00041AE0" w:rsidRPr="009B2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possíveis restrições para eventos durante o</w:t>
            </w:r>
            <w:r w:rsidR="00041A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E15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período eleitoral.</w:t>
            </w:r>
          </w:p>
        </w:tc>
      </w:tr>
    </w:tbl>
    <w:p w14:paraId="76242FFA" w14:textId="4B493D94" w:rsidR="00D05DAB" w:rsidRDefault="00D05DAB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53CC2464" w14:textId="56E49BEF" w:rsidR="00D05DAB" w:rsidRDefault="00D05DAB">
      <w:pPr>
        <w:rPr>
          <w:rFonts w:ascii="Arial" w:eastAsia="MS Mincho" w:hAnsi="Arial" w:cs="Arial"/>
          <w:b/>
          <w:sz w:val="22"/>
          <w:szCs w:val="22"/>
        </w:rPr>
      </w:pPr>
    </w:p>
    <w:p w14:paraId="5129CA78" w14:textId="77777777" w:rsidR="008070D2" w:rsidRPr="002A76F3" w:rsidRDefault="008070D2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70D2" w:rsidRPr="002A76F3" w14:paraId="0431799E" w14:textId="77777777" w:rsidTr="009450A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518A3F" w14:textId="77777777" w:rsidR="008070D2" w:rsidRPr="002A76F3" w:rsidRDefault="008070D2" w:rsidP="009450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791356FF" w14:textId="77777777" w:rsidR="008070D2" w:rsidRPr="002A76F3" w:rsidRDefault="008070D2" w:rsidP="008070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2A76F3" w14:paraId="47C07BF6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FD621B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98E30" w14:textId="7C165D87" w:rsidR="008070D2" w:rsidRPr="000F3D1F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Documento da ASCOP</w:t>
            </w:r>
          </w:p>
        </w:tc>
      </w:tr>
      <w:tr w:rsidR="008070D2" w:rsidRPr="002A76F3" w14:paraId="1200D503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072DF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39B13" w14:textId="6D3BD092" w:rsidR="008070D2" w:rsidRPr="002A76F3" w:rsidRDefault="00420370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2031AB43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894E7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54055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6500B0E6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3ED87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87798" w14:textId="20F7B6BB" w:rsidR="008070D2" w:rsidRPr="00065897" w:rsidRDefault="001C4CE1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 o Manifesto da ASCOP sobre portaria nº 544/2020 do MEC pela CEF e foi encaminhado enviar a minuta para análise do</w:t>
            </w:r>
            <w:r w:rsidR="00D346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membros da CEF, licenciados ou não, para contribuição na construção do manifesto e depois de analisado pelos membros da CEF, encaminhar ao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Diretor </w:t>
            </w:r>
            <w:r w:rsidR="00D346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depois de ser analisado pelo CAU/SC encaminhar sugestão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ASCOP</w:t>
            </w:r>
            <w:r w:rsidR="00D346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05D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Valesca fará consulta a coordenadora do núcleo de educação à distância da ASCOP, senhora Jaqueline, para obter informações se ainda será possível enviar manifestação do CAU/SC após o dia 12 de agosto, prazo incialmente proposto para enviar contribuições.</w:t>
            </w:r>
            <w:r w:rsidR="00D115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CEF solicitou que esse assunto seja pautado novamente na próxima reunião.</w:t>
            </w:r>
          </w:p>
        </w:tc>
      </w:tr>
    </w:tbl>
    <w:p w14:paraId="22085029" w14:textId="77777777" w:rsidR="004C3DB1" w:rsidRDefault="004C3DB1" w:rsidP="004C3DB1">
      <w:pPr>
        <w:pStyle w:val="SemEspaamento"/>
        <w:rPr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2A76F3" w14:paraId="578461BB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EB743" w14:textId="04F46804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47CD" w14:textId="1D09AB73" w:rsidR="008070D2" w:rsidRPr="000F3D1F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203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Compartilhamento de informações à Câmara Temática Cidade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  <w:r w:rsidRPr="004203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Patrimônio de Todos para diagnóstico</w:t>
            </w:r>
          </w:p>
        </w:tc>
      </w:tr>
      <w:tr w:rsidR="008070D2" w:rsidRPr="002A76F3" w14:paraId="60300A20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301C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0483C" w14:textId="52F1B06A" w:rsidR="008070D2" w:rsidRPr="002A76F3" w:rsidRDefault="00420370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070D2" w:rsidRPr="002A76F3" w14:paraId="5BE96E2B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014FC8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E838D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133F84CA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345F6F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DE9CF" w14:textId="4EFA3B31" w:rsidR="008070D2" w:rsidRPr="00065897" w:rsidRDefault="00A5019D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 autoriza o compartilhamento dos dados e informações à CT Cidade: Patrimônio de Todos</w:t>
            </w:r>
            <w:r w:rsidR="00041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utilização nos trabalhos a serem desenvolvidos pelos integrantes do g</w:t>
            </w:r>
            <w:r w:rsidR="00CA6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rupo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3F7E779" w14:textId="06D60404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2A76F3" w14:paraId="70EB2753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BC1D3" w14:textId="54038B41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78A8E" w14:textId="72A08F98" w:rsidR="008070D2" w:rsidRPr="000F3D1F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203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Regras para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‘P</w:t>
            </w:r>
            <w:r w:rsidRPr="004203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remiação acadêmica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’</w:t>
            </w:r>
          </w:p>
        </w:tc>
      </w:tr>
      <w:tr w:rsidR="008070D2" w:rsidRPr="002A76F3" w14:paraId="31831890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508EC5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1D989" w14:textId="50E67291" w:rsidR="008070D2" w:rsidRPr="002A76F3" w:rsidRDefault="00420370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78718B56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522435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3BB34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0192DF4A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FB4D17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4618" w14:textId="4926D379" w:rsidR="008070D2" w:rsidRPr="00065897" w:rsidRDefault="00E07504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essa pauta a CEF, por meio da deliberação nº 53 de 2020, optou por m</w:t>
            </w:r>
            <w:r w:rsidRPr="00E075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anter o tema especial “Arquitetura Efêmera”, divulgado em março de 2019, para a 8º Prêmio para Estudantes de Arquitetura e Urbanismo de Santa Catarina, a ser lançada no início de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877D7BC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20370" w:rsidRPr="002A76F3" w14:paraId="6BDF90F9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F6F8AC" w14:textId="4255BB47" w:rsidR="00420370" w:rsidRPr="002A76F3" w:rsidRDefault="00420370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EAAE9" w14:textId="656E68BB" w:rsidR="00420370" w:rsidRPr="000F3D1F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203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Segunda prorrogação de registro provisório - curso sem reconhecimento</w:t>
            </w:r>
          </w:p>
        </w:tc>
      </w:tr>
      <w:tr w:rsidR="00420370" w:rsidRPr="002A76F3" w14:paraId="76D4E23E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C982AF" w14:textId="77777777" w:rsidR="00420370" w:rsidRPr="002A76F3" w:rsidRDefault="00420370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778E0" w14:textId="77777777" w:rsidR="00420370" w:rsidRPr="002A76F3" w:rsidRDefault="00420370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20370" w:rsidRPr="002A76F3" w14:paraId="220A2A33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F85F8E" w14:textId="77777777" w:rsidR="00420370" w:rsidRPr="002A76F3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6AE50" w14:textId="77777777" w:rsidR="00420370" w:rsidRPr="002A76F3" w:rsidRDefault="00420370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20370" w:rsidRPr="002A76F3" w14:paraId="5A677364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01B905" w14:textId="77777777" w:rsidR="00420370" w:rsidRPr="002A76F3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EE4E6" w14:textId="03D8499B" w:rsidR="00115E13" w:rsidRPr="00115E13" w:rsidRDefault="00115E13" w:rsidP="00115E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54 de 2020 da CEF, foi orientado que se esclareça </w:t>
            </w:r>
            <w:r w:rsidRPr="00115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segunda prorrogação do registro profissional não poderá ser concedida sem que haja autorização expressa em atos normativos da CEF-CAU/BR ou outro órgão competente pertencente ao CAU/BR;</w:t>
            </w:r>
          </w:p>
          <w:p w14:paraId="178D9363" w14:textId="77777777" w:rsidR="00420370" w:rsidRDefault="00115E13" w:rsidP="00115E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</w:t>
            </w:r>
            <w:r w:rsidRPr="00115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solicitação à CEF-CAU/BR de orientação sobre como o CAU/SC deve proceder com tal solicitação de segunda prorrogação de registro provisório de profissional egressa de curso ainda não reconhecido pelo MEC;</w:t>
            </w:r>
          </w:p>
          <w:p w14:paraId="0C23F47F" w14:textId="03842558" w:rsidR="00115E13" w:rsidRPr="00065897" w:rsidRDefault="00115E13" w:rsidP="00115E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5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Informar à interessada quanto aos encaminhamentos deliberados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89C2BC7" w14:textId="394D3594" w:rsidR="00D05DAB" w:rsidRDefault="00D05DAB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620D392B" w14:textId="0D402A22" w:rsidR="00D05DAB" w:rsidRDefault="00D05DAB">
      <w:pPr>
        <w:rPr>
          <w:rFonts w:ascii="Arial" w:hAnsi="Arial" w:cs="Arial"/>
          <w:b/>
          <w:sz w:val="22"/>
          <w:szCs w:val="22"/>
        </w:rPr>
      </w:pPr>
    </w:p>
    <w:p w14:paraId="74D8B964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20370" w:rsidRPr="002A76F3" w14:paraId="30B15A6D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E5BD72" w14:textId="305A67BA" w:rsidR="00420370" w:rsidRPr="002A76F3" w:rsidRDefault="00420370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18D29" w14:textId="3B52A1C3" w:rsidR="00420370" w:rsidRPr="000F3D1F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203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Uso da nuvem de palavras pela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GERTEC</w:t>
            </w:r>
          </w:p>
        </w:tc>
      </w:tr>
      <w:tr w:rsidR="00420370" w:rsidRPr="002A76F3" w14:paraId="74274026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E6DD18" w14:textId="77777777" w:rsidR="00420370" w:rsidRPr="002A76F3" w:rsidRDefault="00420370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C9EDD" w14:textId="77777777" w:rsidR="00420370" w:rsidRPr="002A76F3" w:rsidRDefault="00420370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20370" w:rsidRPr="002A76F3" w14:paraId="49A380DC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D4F708" w14:textId="77777777" w:rsidR="00420370" w:rsidRPr="002A76F3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59FE3" w14:textId="77777777" w:rsidR="00420370" w:rsidRPr="002A76F3" w:rsidRDefault="00420370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20370" w:rsidRPr="002A76F3" w14:paraId="239AAA54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35702" w14:textId="77777777" w:rsidR="00420370" w:rsidRPr="002A76F3" w:rsidRDefault="00420370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DAE75" w14:textId="1B343AE7" w:rsidR="00420370" w:rsidRPr="00065897" w:rsidRDefault="00654343" w:rsidP="004434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Gerência Técnica encaminhou solicitação de permissão de uso da nuvem de palavras em apresentação para o projeto Descomplica SICCAU. </w:t>
            </w:r>
            <w:r w:rsidR="00F375EA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 </w:t>
            </w:r>
            <w:r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a nuvem de palavras constante da palestra do CAU nas Escolas não é de sua autoria, mas sim da Comunicação. A Comissão </w:t>
            </w:r>
            <w:r w:rsidR="00443468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autorizou o uso pela Gertec, mas i</w:t>
            </w:r>
            <w:r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ndicou que</w:t>
            </w:r>
            <w:r w:rsidR="00443468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seja </w:t>
            </w:r>
            <w:r w:rsidR="00443468" w:rsidRPr="009B2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verificada essa possibilidade também com a Comunicação, autora da arte.</w:t>
            </w:r>
          </w:p>
        </w:tc>
      </w:tr>
    </w:tbl>
    <w:p w14:paraId="5A483B05" w14:textId="77777777" w:rsidR="004C3DB1" w:rsidRDefault="004C3DB1" w:rsidP="004C3DB1">
      <w:pPr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200D24D5" w14:textId="77777777" w:rsidR="004C3DB1" w:rsidRDefault="004C3DB1" w:rsidP="004C3DB1">
      <w:pPr>
        <w:suppressLineNumbers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653AA42C" w14:textId="77777777" w:rsidR="00655D32" w:rsidRDefault="005623E0" w:rsidP="00655D3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bookmarkStart w:id="0" w:name="_Hlk46306503"/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 w:rsidR="009B2AC2" w:rsidRPr="009B2AC2">
        <w:rPr>
          <w:rFonts w:ascii="Arial" w:hAnsi="Arial" w:cs="Arial"/>
          <w:sz w:val="22"/>
          <w:szCs w:val="22"/>
        </w:rPr>
        <w:t>C</w:t>
      </w:r>
      <w:r w:rsidR="00654343" w:rsidRPr="009B2AC2">
        <w:rPr>
          <w:rFonts w:ascii="Arial" w:hAnsi="Arial" w:cs="Arial"/>
          <w:sz w:val="22"/>
          <w:szCs w:val="22"/>
        </w:rPr>
        <w:t xml:space="preserve">EF </w:t>
      </w:r>
      <w:r w:rsidRPr="009B2AC2">
        <w:rPr>
          <w:rFonts w:ascii="Arial" w:hAnsi="Arial" w:cs="Arial"/>
          <w:sz w:val="22"/>
          <w:szCs w:val="22"/>
        </w:rPr>
        <w:t xml:space="preserve">realizada de forma virtual no dia </w:t>
      </w:r>
      <w:r w:rsidR="00654343" w:rsidRPr="009B2AC2">
        <w:rPr>
          <w:rFonts w:ascii="Arial" w:hAnsi="Arial" w:cs="Arial"/>
          <w:sz w:val="22"/>
          <w:szCs w:val="22"/>
        </w:rPr>
        <w:t>29</w:t>
      </w:r>
      <w:r w:rsidRPr="009B2AC2">
        <w:rPr>
          <w:rFonts w:ascii="Arial" w:hAnsi="Arial" w:cs="Arial"/>
          <w:sz w:val="22"/>
          <w:szCs w:val="22"/>
        </w:rPr>
        <w:t>/</w:t>
      </w:r>
      <w:r w:rsidR="00654343" w:rsidRPr="009B2AC2">
        <w:rPr>
          <w:rFonts w:ascii="Arial" w:hAnsi="Arial" w:cs="Arial"/>
          <w:sz w:val="22"/>
          <w:szCs w:val="22"/>
        </w:rPr>
        <w:t>07</w:t>
      </w:r>
      <w:r w:rsidRPr="009B2AC2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 xml:space="preserve">, com os votos favoráveis das Conselheiras Valesca Menezes Marques e Jaqueline Andrade. Nos termos do item 2.1 da Deliberação Plenária CAU/SC nº 504, de 19 de junho de 2020, atestamos a veracidade das informações. </w:t>
      </w:r>
      <w:r w:rsidR="00655D32" w:rsidRPr="00102D17">
        <w:rPr>
          <w:rFonts w:ascii="Arial" w:hAnsi="Arial" w:cs="Arial"/>
          <w:sz w:val="22"/>
          <w:szCs w:val="22"/>
        </w:rPr>
        <w:t xml:space="preserve">Publique-se. </w:t>
      </w:r>
    </w:p>
    <w:p w14:paraId="15B912CA" w14:textId="29AE5FB3" w:rsidR="00655D32" w:rsidRDefault="00655D32" w:rsidP="00655D3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8128AF3" w14:textId="77777777" w:rsidR="00655D32" w:rsidRDefault="00655D32" w:rsidP="00655D3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A6975A0" w14:textId="77777777" w:rsidR="00655D32" w:rsidRDefault="00655D32" w:rsidP="00655D3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AD263F3" w14:textId="77777777" w:rsidR="00655D32" w:rsidRPr="00102D17" w:rsidRDefault="00655D32" w:rsidP="00655D3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34513F9D" w14:textId="77777777" w:rsidR="00655D32" w:rsidRDefault="00655D32" w:rsidP="00655D3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proofErr w:type="spellStart"/>
      <w:r w:rsidRPr="00102D17">
        <w:rPr>
          <w:rFonts w:ascii="Arial" w:hAnsi="Arial" w:cs="Arial"/>
          <w:sz w:val="22"/>
          <w:szCs w:val="22"/>
        </w:rPr>
        <w:t>Antonio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2C0237D0" w14:textId="3264D23F" w:rsidR="00655D32" w:rsidRDefault="00655D32" w:rsidP="00655D3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C23EEDE" w14:textId="77777777" w:rsidR="00655D32" w:rsidRDefault="00655D32" w:rsidP="00655D3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98F9F5A" w14:textId="77777777" w:rsidR="00655D32" w:rsidRDefault="00655D32" w:rsidP="00655D3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55E11E54" w14:textId="219A2AB3" w:rsidR="00655D32" w:rsidRPr="00102D17" w:rsidRDefault="00655D32" w:rsidP="00655D3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</w:t>
      </w:r>
    </w:p>
    <w:p w14:paraId="3855662A" w14:textId="77777777" w:rsidR="00655D32" w:rsidRPr="00102D17" w:rsidRDefault="00655D32" w:rsidP="00655D3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</w:t>
      </w:r>
      <w:proofErr w:type="spellStart"/>
      <w:r w:rsidRPr="00102D17">
        <w:rPr>
          <w:rFonts w:ascii="Arial" w:hAnsi="Arial" w:cs="Arial"/>
          <w:sz w:val="22"/>
          <w:szCs w:val="22"/>
        </w:rPr>
        <w:t>Mecabô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– Secretária</w:t>
      </w:r>
    </w:p>
    <w:p w14:paraId="3F3D3771" w14:textId="77777777" w:rsidR="00655D32" w:rsidRDefault="00655D32" w:rsidP="00655D3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591F52E" w14:textId="2A84D041" w:rsidR="005623E0" w:rsidRDefault="005623E0" w:rsidP="00655D32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4B77AB8B" w14:textId="77777777" w:rsidR="005623E0" w:rsidRPr="00102D17" w:rsidRDefault="005623E0" w:rsidP="005623E0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51C50E2F" w14:textId="77777777" w:rsidR="00DA048D" w:rsidRPr="002A76F3" w:rsidRDefault="00DA048D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sectPr w:rsidR="00DA048D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7617" w14:textId="77777777" w:rsidR="00894EAE" w:rsidRDefault="00894EAE">
      <w:r>
        <w:separator/>
      </w:r>
    </w:p>
  </w:endnote>
  <w:endnote w:type="continuationSeparator" w:id="0">
    <w:p w14:paraId="3F96CDD8" w14:textId="77777777" w:rsidR="00894EAE" w:rsidRDefault="008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2DF66" w14:textId="77777777" w:rsidR="00894EAE" w:rsidRDefault="00894EAE">
      <w:r>
        <w:separator/>
      </w:r>
    </w:p>
  </w:footnote>
  <w:footnote w:type="continuationSeparator" w:id="0">
    <w:p w14:paraId="1E162F48" w14:textId="77777777" w:rsidR="00894EAE" w:rsidRDefault="0089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2B25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1AE0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3BF0"/>
    <w:rsid w:val="000940DA"/>
    <w:rsid w:val="000944B7"/>
    <w:rsid w:val="00097576"/>
    <w:rsid w:val="0009790B"/>
    <w:rsid w:val="00097E4E"/>
    <w:rsid w:val="000A0383"/>
    <w:rsid w:val="000A0CFB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6586"/>
    <w:rsid w:val="00101C34"/>
    <w:rsid w:val="00102594"/>
    <w:rsid w:val="001041F4"/>
    <w:rsid w:val="0011020F"/>
    <w:rsid w:val="0011042B"/>
    <w:rsid w:val="00110EB3"/>
    <w:rsid w:val="00112578"/>
    <w:rsid w:val="0011297E"/>
    <w:rsid w:val="001131B1"/>
    <w:rsid w:val="00114158"/>
    <w:rsid w:val="00115E13"/>
    <w:rsid w:val="001224E4"/>
    <w:rsid w:val="00126273"/>
    <w:rsid w:val="0012648E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4CE1"/>
    <w:rsid w:val="001C510E"/>
    <w:rsid w:val="001C58D0"/>
    <w:rsid w:val="001C6CCB"/>
    <w:rsid w:val="001D0B2F"/>
    <w:rsid w:val="001D1067"/>
    <w:rsid w:val="001D14B0"/>
    <w:rsid w:val="001D1E4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5D2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5F85"/>
    <w:rsid w:val="00246DD9"/>
    <w:rsid w:val="002473CA"/>
    <w:rsid w:val="0025014B"/>
    <w:rsid w:val="002508A0"/>
    <w:rsid w:val="00250967"/>
    <w:rsid w:val="00250982"/>
    <w:rsid w:val="00251616"/>
    <w:rsid w:val="002524E2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2936"/>
    <w:rsid w:val="003A590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6DBE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FC"/>
    <w:rsid w:val="004172E7"/>
    <w:rsid w:val="00417497"/>
    <w:rsid w:val="00420370"/>
    <w:rsid w:val="004207C5"/>
    <w:rsid w:val="0042242B"/>
    <w:rsid w:val="00422FAE"/>
    <w:rsid w:val="00426C01"/>
    <w:rsid w:val="004346B1"/>
    <w:rsid w:val="00434F87"/>
    <w:rsid w:val="00436843"/>
    <w:rsid w:val="004372D3"/>
    <w:rsid w:val="00437923"/>
    <w:rsid w:val="004406D7"/>
    <w:rsid w:val="004415E6"/>
    <w:rsid w:val="00441C00"/>
    <w:rsid w:val="00442214"/>
    <w:rsid w:val="00443468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67304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45FE"/>
    <w:rsid w:val="004C50B6"/>
    <w:rsid w:val="004C58CE"/>
    <w:rsid w:val="004C6903"/>
    <w:rsid w:val="004C7BD7"/>
    <w:rsid w:val="004C7C75"/>
    <w:rsid w:val="004D0A12"/>
    <w:rsid w:val="004D1958"/>
    <w:rsid w:val="004D1D78"/>
    <w:rsid w:val="004D36E5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6609"/>
    <w:rsid w:val="005402C9"/>
    <w:rsid w:val="0054185D"/>
    <w:rsid w:val="00541ED5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3E0"/>
    <w:rsid w:val="0056287C"/>
    <w:rsid w:val="00563426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364E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0179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3E22"/>
    <w:rsid w:val="00654343"/>
    <w:rsid w:val="006546FF"/>
    <w:rsid w:val="00654975"/>
    <w:rsid w:val="00655D32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2B41"/>
    <w:rsid w:val="006C39B8"/>
    <w:rsid w:val="006C68ED"/>
    <w:rsid w:val="006C6B69"/>
    <w:rsid w:val="006C70EF"/>
    <w:rsid w:val="006D02FF"/>
    <w:rsid w:val="006D1902"/>
    <w:rsid w:val="006D224F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414B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971AC"/>
    <w:rsid w:val="007A0E24"/>
    <w:rsid w:val="007A2D80"/>
    <w:rsid w:val="007A3450"/>
    <w:rsid w:val="007A3E8D"/>
    <w:rsid w:val="007A46B4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25D0"/>
    <w:rsid w:val="00803835"/>
    <w:rsid w:val="0080438A"/>
    <w:rsid w:val="008066AA"/>
    <w:rsid w:val="0080700B"/>
    <w:rsid w:val="008070D2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4EAE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66A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1EB"/>
    <w:rsid w:val="00925A8E"/>
    <w:rsid w:val="00926C90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1D48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258"/>
    <w:rsid w:val="00994336"/>
    <w:rsid w:val="00994434"/>
    <w:rsid w:val="00994C25"/>
    <w:rsid w:val="00995DE7"/>
    <w:rsid w:val="00995E92"/>
    <w:rsid w:val="009961BB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AC2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1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2471"/>
    <w:rsid w:val="00A92B3A"/>
    <w:rsid w:val="00A95A13"/>
    <w:rsid w:val="00A96800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09D4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005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6F54"/>
    <w:rsid w:val="00B279DC"/>
    <w:rsid w:val="00B33592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47CF7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1C3B"/>
    <w:rsid w:val="00BB217C"/>
    <w:rsid w:val="00BB3A08"/>
    <w:rsid w:val="00BB475D"/>
    <w:rsid w:val="00BB4B32"/>
    <w:rsid w:val="00BB529F"/>
    <w:rsid w:val="00BB5D73"/>
    <w:rsid w:val="00BC3D59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D7687"/>
    <w:rsid w:val="00BE0AE4"/>
    <w:rsid w:val="00BE1181"/>
    <w:rsid w:val="00BE14D7"/>
    <w:rsid w:val="00BE15FE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6A6B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6A2C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1D05"/>
    <w:rsid w:val="00D04B3F"/>
    <w:rsid w:val="00D05DAB"/>
    <w:rsid w:val="00D05F0D"/>
    <w:rsid w:val="00D060C3"/>
    <w:rsid w:val="00D077E8"/>
    <w:rsid w:val="00D07908"/>
    <w:rsid w:val="00D102B9"/>
    <w:rsid w:val="00D115EF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54C"/>
    <w:rsid w:val="00D2694A"/>
    <w:rsid w:val="00D27E08"/>
    <w:rsid w:val="00D308AD"/>
    <w:rsid w:val="00D311A7"/>
    <w:rsid w:val="00D326D3"/>
    <w:rsid w:val="00D34581"/>
    <w:rsid w:val="00D3467B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1FA1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4FA9"/>
    <w:rsid w:val="00D953BF"/>
    <w:rsid w:val="00D95C52"/>
    <w:rsid w:val="00D95CFB"/>
    <w:rsid w:val="00D95FA0"/>
    <w:rsid w:val="00DA048D"/>
    <w:rsid w:val="00DA1ACA"/>
    <w:rsid w:val="00DA1E87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739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07504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0373"/>
    <w:rsid w:val="00E4241A"/>
    <w:rsid w:val="00E43D63"/>
    <w:rsid w:val="00E447F1"/>
    <w:rsid w:val="00E452C5"/>
    <w:rsid w:val="00E468BF"/>
    <w:rsid w:val="00E46A80"/>
    <w:rsid w:val="00E4713E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32CC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375EA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1AE"/>
    <w:rsid w:val="00FD339B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078E-28D5-43F9-8241-B1291BE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1486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luizamecabo@gmail.com</cp:lastModifiedBy>
  <cp:revision>9</cp:revision>
  <cp:lastPrinted>2020-08-31T18:34:00Z</cp:lastPrinted>
  <dcterms:created xsi:type="dcterms:W3CDTF">2020-08-11T13:18:00Z</dcterms:created>
  <dcterms:modified xsi:type="dcterms:W3CDTF">2020-08-31T18:49:00Z</dcterms:modified>
</cp:coreProperties>
</file>