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61962" w:rsidRDefault="00C40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i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SÚMULA DA 10ª REUNIÃO ORDINÁRIA CEF-CAU/SC – 2020 -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ONLINE</w:t>
      </w: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3145"/>
        <w:gridCol w:w="1540"/>
        <w:gridCol w:w="2428"/>
      </w:tblGrid>
      <w:tr w:rsidR="00161962">
        <w:trPr>
          <w:trHeight w:val="300"/>
        </w:trPr>
        <w:tc>
          <w:tcPr>
            <w:tcW w:w="1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28/10/2020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09h – 13h00min</w:t>
            </w:r>
          </w:p>
        </w:tc>
      </w:tr>
      <w:tr w:rsidR="00161962">
        <w:trPr>
          <w:trHeight w:val="300"/>
        </w:trPr>
        <w:tc>
          <w:tcPr>
            <w:tcW w:w="1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 (via zoom)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0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76"/>
      </w:tblGrid>
      <w:tr w:rsidR="00161962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Marina Lemos Lameiras </w:t>
            </w:r>
          </w:p>
        </w:tc>
      </w:tr>
      <w:tr w:rsidR="00161962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161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Fernando Volkmer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161962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0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7"/>
        <w:gridCol w:w="2585"/>
        <w:gridCol w:w="1243"/>
        <w:gridCol w:w="1184"/>
      </w:tblGrid>
      <w:tr w:rsidR="00161962">
        <w:tc>
          <w:tcPr>
            <w:tcW w:w="6633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Horário saída</w:t>
            </w:r>
          </w:p>
        </w:tc>
      </w:tr>
      <w:tr w:rsidR="00161962">
        <w:trPr>
          <w:trHeight w:val="301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:rsidR="00161962" w:rsidRDefault="00C408CD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Jaqueline Andrade</w:t>
            </w:r>
            <w:r>
              <w:rPr>
                <w:rFonts w:ascii="Arial" w:eastAsia="Arial" w:hAnsi="Arial" w:cs="Arial"/>
                <w:color w:val="6C6C6C"/>
                <w:sz w:val="21"/>
                <w:szCs w:val="21"/>
                <w:highlight w:val="white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12h30</w:t>
            </w:r>
          </w:p>
        </w:tc>
      </w:tr>
      <w:tr w:rsidR="00161962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Valesca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12h30</w:t>
            </w:r>
          </w:p>
        </w:tc>
      </w:tr>
      <w:tr w:rsidR="00161962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Rodrigo Althoff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10h30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0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76"/>
      </w:tblGrid>
      <w:tr w:rsidR="00161962">
        <w:tc>
          <w:tcPr>
            <w:tcW w:w="198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CONVIDADOS</w:t>
            </w: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Gerente Geral do CAU/SC</w:t>
            </w:r>
          </w:p>
        </w:tc>
      </w:tr>
      <w:tr w:rsidR="00161962">
        <w:tc>
          <w:tcPr>
            <w:tcW w:w="198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161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76" w:type="dxa"/>
            <w:tcBorders>
              <w:left w:val="nil"/>
              <w:right w:val="nil"/>
            </w:tcBorders>
            <w:shd w:val="clear" w:color="auto" w:fill="auto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Couto Nunes – Assessor Especial da Presidência do CAU/SC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252" w:type="dxa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7228"/>
      </w:tblGrid>
      <w:tr w:rsidR="00161962">
        <w:trPr>
          <w:trHeight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Ausências justificadas</w:t>
            </w:r>
          </w:p>
        </w:tc>
      </w:tr>
      <w:tr w:rsidR="00161962">
        <w:trPr>
          <w:trHeight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962" w:rsidRDefault="0016196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61962">
        <w:trPr>
          <w:trHeight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61962" w:rsidRDefault="00C408CD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61962">
        <w:trPr>
          <w:trHeight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:rsidR="00161962" w:rsidRDefault="00C408CD"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962" w:rsidRDefault="00C408CD">
            <w:r>
              <w:rPr>
                <w:rFonts w:ascii="Arial" w:eastAsia="Arial" w:hAnsi="Arial" w:cs="Arial"/>
                <w:sz w:val="22"/>
                <w:szCs w:val="22"/>
              </w:rPr>
              <w:t>Não houve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61962" w:rsidRDefault="00161962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161962">
        <w:trPr>
          <w:trHeight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Encaminhar súmula da 09ª Reunião para publicação.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7"/>
        <w:tblW w:w="9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161962">
        <w:trPr>
          <w:trHeight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Comunicação</w:t>
            </w:r>
          </w:p>
        </w:tc>
      </w:tr>
    </w:tbl>
    <w:p w:rsidR="00161962" w:rsidRDefault="00161962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06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112"/>
      </w:tblGrid>
      <w:tr w:rsidR="00161962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Jaqueline Andrade</w:t>
            </w:r>
          </w:p>
        </w:tc>
      </w:tr>
      <w:tr w:rsidR="00161962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conselheira Jaqueline participou do CEAU sobre a Honra ao Mérito. Foram definidos os nomes pelo CEAU e, a partir dos critérios estabelecidos, cada representante levará a sua entidade/comissão para escolha do nome.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 CD, a presidente levará à próxima reunião do CEAU o nome lá escolhido, e pelas comissões ordinárias, os respectivos coordenadores também o farão.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proposta é seguir com a indicação feita pelo CD. Será colocado em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extrapauta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desta reunião para referen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dar os nomes.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Reestruturação do CAU nas Escolas: Informou que aconteceu a reunião ampliada no dia 19/10 com o objetivo de pensar no CAU NAS ESCOLAS. Será tratado no ponto de pauta.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Informou que teve um retorno muito positivo sobre o encontro de coordenad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ores.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1962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161962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1962" w:rsidRDefault="00161962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9"/>
        <w:tblW w:w="906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112"/>
      </w:tblGrid>
      <w:tr w:rsidR="00161962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Rodrigo Althoff</w:t>
            </w:r>
          </w:p>
        </w:tc>
      </w:tr>
      <w:tr w:rsidR="00161962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Informou que acompanhou pelo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por estar impossibilitado de participar ao vivo.</w:t>
            </w:r>
          </w:p>
        </w:tc>
      </w:tr>
    </w:tbl>
    <w:p w:rsidR="00161962" w:rsidRDefault="00161962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a"/>
        <w:tblW w:w="906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112"/>
      </w:tblGrid>
      <w:tr w:rsidR="00161962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Assessoria</w:t>
            </w:r>
          </w:p>
        </w:tc>
      </w:tr>
      <w:tr w:rsidR="00161962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Informou que a coordenadora da Estácio enviou um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justificado a ausência no encontro por terem confundido as datas do evento..</w:t>
            </w:r>
          </w:p>
        </w:tc>
      </w:tr>
    </w:tbl>
    <w:p w:rsidR="00161962" w:rsidRDefault="00161962">
      <w:pPr>
        <w:rPr>
          <w:rFonts w:ascii="Arial" w:eastAsia="Arial" w:hAnsi="Arial" w:cs="Arial"/>
          <w:b/>
          <w:sz w:val="22"/>
          <w:szCs w:val="22"/>
        </w:rPr>
      </w:pPr>
    </w:p>
    <w:p w:rsidR="00161962" w:rsidRDefault="00161962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9069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112"/>
      </w:tblGrid>
      <w:tr w:rsidR="00161962">
        <w:trPr>
          <w:trHeight w:val="357"/>
        </w:trPr>
        <w:tc>
          <w:tcPr>
            <w:tcW w:w="90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ind w:right="-7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Extrapauta</w:t>
            </w:r>
            <w:proofErr w:type="spellEnd"/>
          </w:p>
        </w:tc>
      </w:tr>
      <w:tr w:rsidR="00161962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ind w:right="-72"/>
              <w:jc w:val="both"/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Jaqueline Andrade</w:t>
            </w:r>
          </w:p>
        </w:tc>
      </w:tr>
      <w:tr w:rsidR="00161962">
        <w:trPr>
          <w:trHeight w:val="37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7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Indicação/Homologação dos nomes de honra ao mérito</w:t>
            </w:r>
          </w:p>
        </w:tc>
      </w:tr>
    </w:tbl>
    <w:p w:rsidR="00161962" w:rsidRDefault="00161962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c"/>
        <w:tblW w:w="9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161962">
        <w:trPr>
          <w:trHeight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ORDEM DO DIA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white"/>
              </w:rPr>
              <w:t>Homologação Registros Profissionais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GERTEC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CEF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Homologação de 38 Registros Profissionais em caráter PROVISÓRIO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Homologação de 68 Registros Profissionais em caráter DEFINITIVO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Deliberação – 65/2020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Deliberação – 66/2020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Inclusão da titularidade Eng. Seg.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Trab</w:t>
            </w:r>
            <w:proofErr w:type="spellEnd"/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GERTEC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CEF</w:t>
            </w:r>
          </w:p>
        </w:tc>
      </w:tr>
      <w:tr w:rsidR="0016196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Inclusão do título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Engenheiro(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a) de Segurança do Trabalho – Protocolo 1149082/2020 - Indeferido</w:t>
            </w:r>
          </w:p>
          <w:p w:rsidR="00161962" w:rsidRPr="00C408CD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408CD">
              <w:rPr>
                <w:rFonts w:ascii="Arial" w:eastAsia="Arial" w:hAnsi="Arial" w:cs="Arial"/>
                <w:b/>
                <w:sz w:val="22"/>
                <w:szCs w:val="22"/>
              </w:rPr>
              <w:t>Deliberação – 67/2020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Registro de diplomado no exterior – Protocolo 117961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GERTEC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CEF</w:t>
            </w:r>
          </w:p>
        </w:tc>
      </w:tr>
      <w:tr w:rsidR="0016196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Não aprova recepção de documentos e delibera por informar à requerente que os documentos solicitados na análise devem ser apresentados.</w:t>
            </w:r>
          </w:p>
          <w:p w:rsidR="00161962" w:rsidRPr="00C408CD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408CD">
              <w:rPr>
                <w:rFonts w:ascii="Arial" w:eastAsia="Arial" w:hAnsi="Arial" w:cs="Arial"/>
                <w:b/>
                <w:sz w:val="22"/>
                <w:szCs w:val="22"/>
              </w:rPr>
              <w:t>Deliberação – 68/2020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075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7005"/>
      </w:tblGrid>
      <w:tr w:rsidR="00161962">
        <w:trPr>
          <w:trHeight w:val="30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Encontro de coordenadores</w:t>
            </w:r>
          </w:p>
        </w:tc>
      </w:tr>
      <w:tr w:rsidR="00161962">
        <w:trPr>
          <w:trHeight w:val="30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Assessoria</w:t>
            </w:r>
          </w:p>
        </w:tc>
      </w:tr>
      <w:tr w:rsidR="00161962">
        <w:trPr>
          <w:trHeight w:val="30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CEF</w:t>
            </w:r>
          </w:p>
        </w:tc>
      </w:tr>
      <w:tr w:rsidR="00161962">
        <w:trPr>
          <w:trHeight w:val="30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Foi sugerido a criação de um grupo para comunicação com os coordenadores de curso que deverá ser gerido pelo CAU. Deverá ser criada uma “lista de transmissão”, funcionalidade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whatsapp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é diferente de um grupo.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comissão reconhece uma avaliação bem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ositiva dos 3 encontros.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conselheira Jaqueline Andrade salienta que a palestra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Romero provoca uma mudança de paradigma quanto às questões do EAD, e que ele parabenizou o CAU no momento em que se traz à discussão as questões do ensino SEM distânci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que deverá realmente ser avaliado é a qualidade do ensino, visto que a comercialização do EAD é que pode trazer uma qualidade insuficiente, mas não necessariamente.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própria qualidade dos cursos presenciais não é questionada de forma tão contundente.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Esta questão deverá ser realmente melhor tratada não só pelo CAU, mas por todos os conselhos profissionais.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discussão se volta para </w:t>
            </w:r>
            <w:r>
              <w:rPr>
                <w:rFonts w:ascii="Arial" w:eastAsia="Arial" w:hAnsi="Arial" w:cs="Arial"/>
                <w:sz w:val="22"/>
                <w:szCs w:val="22"/>
              </w:rPr>
              <w:t>como se faz ou deveria ser feito 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EAD.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Como encaminhamento principal, este encontro trouxe a necessidade do </w:t>
            </w:r>
            <w:r>
              <w:rPr>
                <w:rFonts w:ascii="Arial" w:eastAsia="Arial" w:hAnsi="Arial" w:cs="Arial"/>
                <w:sz w:val="22"/>
                <w:szCs w:val="22"/>
              </w:rPr>
              <w:t>desenvolvime</w:t>
            </w:r>
            <w:r>
              <w:rPr>
                <w:rFonts w:ascii="Arial" w:eastAsia="Arial" w:hAnsi="Arial" w:cs="Arial"/>
                <w:sz w:val="22"/>
                <w:szCs w:val="22"/>
              </w:rPr>
              <w:t>nto 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diagnóstico do ensino, não só em SC, mas de forma geral.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assessoria fará a compilação das informações para o relatório da terceira etapa do encontro para que seja aprovado na última reunião do ano.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CAU nas Escolas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Assessoria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CEF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proposta de reestruturação seria para a próxima gestão, desenvolvendo um cronograma contemplando as ideias levantadas.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Algumas ideias que surgiram:</w:t>
            </w:r>
          </w:p>
          <w:p w:rsidR="00161962" w:rsidRDefault="00C408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Ampliar os temas do CAU na Escolas: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CED - Questões éticas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CEP - Temas relacionados ao mercado de trabalho, concorrência e oportunidades;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ATHIS - Habitação de interesse Social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CPUA – Patrimônio, Cidades 2030, Acessibilidade</w:t>
            </w:r>
          </w:p>
          <w:p w:rsidR="00161962" w:rsidRDefault="00C408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Ampliação da capacidade da plataforma de reuniões online para possibilitar a participação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 mais alunos de mais de uma escola no mesmo evento. Foi sugerida a contratação de plano para 500 pessoas simultaneamente.</w:t>
            </w:r>
          </w:p>
          <w:p w:rsidR="00161962" w:rsidRDefault="00C408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Contratação de empresa externa para desenvolvimento de um site responsivo e interativo com informações classificadas de acordo com 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fase da graduação do aluno. Como referência, foi sugerido o site do Banco do Brasil, que tem um espaço exclusivo para funcionários com o objetivo de promover treinamento e informações.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Baseado na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gameficação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 informação, com interações mais lúdicas,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omo o preenchimento de um RRT, acessos ao SICCAU, etc. 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 conteúdo em vídeo curtos e objetivos, alimentados de tempos e tempos pelo CAU.</w:t>
            </w:r>
          </w:p>
          <w:p w:rsidR="00161962" w:rsidRDefault="00C408C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Biblioteca com informações sobre normas e informações relativas a profissão, mais focado aos já formados.</w:t>
            </w:r>
          </w:p>
          <w:p w:rsidR="00161962" w:rsidRDefault="00C408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Implementaç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ão da Escola no CAU, onde turmas poderiam passar um determinado período de tempo conhecendo o funcionamento do CAU, tendo um acolhimento e fomentando o sentimento de pertencimento mesmo antes de terem seus títulos ou registros.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 do prêmio TCC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Assessoria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CEF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assessoria concluiu a minuta para aprovação do TR, que foi revisada pela assessoria especial da presidência, colocando para aprovação da CEF.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 ser aprovada na próxima reunião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tbl>
      <w:tblPr>
        <w:tblStyle w:val="af3"/>
        <w:tblW w:w="9072" w:type="dxa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Planejamento 2021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Assessoria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Assessoria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Projetos para 2021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161962" w:rsidRDefault="00C40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CAU nas Escolas</w:t>
            </w:r>
          </w:p>
          <w:p w:rsidR="00161962" w:rsidRDefault="00C408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Escola no CAU</w:t>
            </w:r>
          </w:p>
          <w:p w:rsidR="00161962" w:rsidRDefault="00C408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Site</w:t>
            </w:r>
          </w:p>
          <w:p w:rsidR="00161962" w:rsidRDefault="00C408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Videoteca</w:t>
            </w:r>
          </w:p>
          <w:p w:rsidR="00161962" w:rsidRDefault="00C408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Banco de normas</w:t>
            </w:r>
          </w:p>
          <w:p w:rsidR="00161962" w:rsidRDefault="00C40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Kit Novo arquitetos</w:t>
            </w:r>
          </w:p>
          <w:p w:rsidR="00161962" w:rsidRDefault="00C40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Premiação Acadêmica</w:t>
            </w:r>
          </w:p>
          <w:p w:rsidR="00161962" w:rsidRDefault="00C408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Foi analisada anova minuta do TR para a contratação da empresa para a próxima premiação acadêmica, ficando a assessoria responsável por enviar o arquivo aos conselheiros para última revisão, a fim de ser aprovada na próxima reunião.</w:t>
            </w:r>
          </w:p>
          <w:p w:rsidR="00161962" w:rsidRDefault="00C40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Encontro de Coordenador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</w:t>
            </w:r>
          </w:p>
          <w:p w:rsidR="00161962" w:rsidRDefault="00C408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Considerando a hipótese de ainda persistira a situação de isolamento social, o Encontro de coordenadores poderá ser de forma virtual, não exigindo custos. Será mantido um valor menor no planejamento para que na eventualidade de possibilitar um encontro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presencial, se tenha verbas para estrutura e deslocamento de palestrantes.</w:t>
            </w:r>
          </w:p>
          <w:p w:rsidR="00161962" w:rsidRDefault="00C408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Diagnóstico do Ensino de Arquitetura e Urbanismo em SC</w:t>
            </w:r>
          </w:p>
          <w:p w:rsidR="00161962" w:rsidRDefault="001619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Gerente Geral,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comentou dos recursos destinados aos projetos para 2021. Informou sobre alguns cortes,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mas também de algumas alternativas.</w:t>
            </w: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adequação dos recursos foi discutida da seguinte forma:</w:t>
            </w: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Encontro dos coordenadores: R$ 2.000,00</w:t>
            </w: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CAU nas Escolas: R$ 5.000,00</w:t>
            </w: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Premiação Acadêmica: R$ 60.000,00</w:t>
            </w: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Diagnóstico da Educação:</w:t>
            </w:r>
          </w:p>
          <w:p w:rsidR="00161962" w:rsidRDefault="00C408C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- Foi sugerido uma Câmara Temática para estruturar o Diagnóstico no primeiro semestre de 2021, podendo ser produzido um TR mais apropriado no segundo semestre, e considerando a possibilidade de uma readequação orçamentária.</w:t>
            </w:r>
          </w:p>
          <w:p w:rsidR="00161962" w:rsidRDefault="001619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4"/>
        <w:tblW w:w="9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5"/>
      </w:tblGrid>
      <w:tr w:rsidR="00161962">
        <w:trPr>
          <w:trHeight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EXTRA PAUTA</w:t>
            </w: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4"/>
        <w:gridCol w:w="7098"/>
      </w:tblGrid>
      <w:tr w:rsidR="00161962">
        <w:trPr>
          <w:trHeight w:val="300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Indicação/Homologação dos nomes de honra ao mérito.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1962" w:rsidRDefault="00C408C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Conselheira Jaqueline Andrade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CEF</w:t>
            </w:r>
          </w:p>
        </w:tc>
      </w:tr>
      <w:tr w:rsidR="001619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conselheira Jaqueline justificou resumidamente os argumentos das escolhas, o que permitiu que fossem indicados os nomes para os destaques Honra ao Mérito, seguindo a indicação do CD.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Contribuição Benemérita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Atelier Modelo de Arquitetura (AMA-UFSC)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ribuição Honorífica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C.A.A.P Centro de Assessoria a Autogestão Popular – através de seus diretores fundadores Arquiteto Uruguaio Leonardo Roque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Pessina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Bernini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a Assistente Social Ana Luiza Vaz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Profissional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Maria Inês Sugai</w:t>
            </w:r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61962" w:rsidRDefault="00C408CD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Jovem Profissional</w:t>
            </w:r>
          </w:p>
          <w:p w:rsidR="00161962" w:rsidRDefault="00C408CD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Vinícius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ariot</w:t>
            </w:r>
            <w:proofErr w:type="spellEnd"/>
          </w:p>
          <w:p w:rsidR="00161962" w:rsidRDefault="00161962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161962" w:rsidRDefault="00C408CD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Florianópolis, 28 de outubro de 2020</w:t>
      </w:r>
    </w:p>
    <w:p w:rsidR="00161962" w:rsidRDefault="00161962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p w:rsidR="00161962" w:rsidRDefault="00C408CD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 Súmula foi aprovada na reunião da CEF realizada d</w:t>
      </w:r>
      <w:r w:rsidRPr="00C408CD">
        <w:rPr>
          <w:rFonts w:ascii="Arial" w:eastAsia="Arial" w:hAnsi="Arial" w:cs="Arial"/>
          <w:sz w:val="22"/>
          <w:szCs w:val="22"/>
        </w:rPr>
        <w:t xml:space="preserve">e forma virtual no dia </w:t>
      </w:r>
      <w:r w:rsidRPr="00C408CD">
        <w:rPr>
          <w:rFonts w:ascii="Arial" w:eastAsia="Arial" w:hAnsi="Arial" w:cs="Arial"/>
          <w:sz w:val="22"/>
          <w:szCs w:val="22"/>
        </w:rPr>
        <w:t>25/11</w:t>
      </w:r>
      <w:r w:rsidRPr="00C408CD">
        <w:rPr>
          <w:rFonts w:ascii="Arial" w:eastAsia="Arial" w:hAnsi="Arial" w:cs="Arial"/>
          <w:sz w:val="22"/>
          <w:szCs w:val="22"/>
        </w:rPr>
        <w:t>/2020, com os votos favoráveis dos</w:t>
      </w:r>
      <w:r w:rsidRPr="00C408CD">
        <w:rPr>
          <w:rFonts w:ascii="Arial" w:eastAsia="Arial" w:hAnsi="Arial" w:cs="Arial"/>
          <w:sz w:val="22"/>
          <w:szCs w:val="22"/>
        </w:rPr>
        <w:t xml:space="preserve"> Conselheiros Diego Daniel e </w:t>
      </w:r>
      <w:r w:rsidRPr="00C408CD">
        <w:rPr>
          <w:rFonts w:ascii="Arial" w:eastAsia="Arial" w:hAnsi="Arial" w:cs="Arial"/>
          <w:sz w:val="22"/>
          <w:szCs w:val="22"/>
        </w:rPr>
        <w:t>Jaqueline Andrade</w:t>
      </w:r>
      <w:r w:rsidRPr="00C408CD">
        <w:rPr>
          <w:rFonts w:ascii="Arial" w:eastAsia="Arial" w:hAnsi="Arial" w:cs="Arial"/>
          <w:sz w:val="22"/>
          <w:szCs w:val="22"/>
        </w:rPr>
        <w:t>. Nos termos do item 2.1 da Deliberação Plenária CAU/SC nº 504, de 1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9 de junho de 2020, atestamos a veracidade das informações. Publique-se. </w:t>
      </w:r>
    </w:p>
    <w:p w:rsidR="00161962" w:rsidRDefault="00161962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</w:p>
    <w:p w:rsidR="00161962" w:rsidRDefault="00161962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  <w:sectPr w:rsidR="00161962">
          <w:headerReference w:type="even" r:id="rId8"/>
          <w:headerReference w:type="default" r:id="rId9"/>
          <w:footerReference w:type="even" r:id="rId10"/>
          <w:pgSz w:w="11900" w:h="16840"/>
          <w:pgMar w:top="1701" w:right="1134" w:bottom="1560" w:left="1701" w:header="1327" w:footer="584" w:gutter="0"/>
          <w:pgNumType w:start="1"/>
          <w:cols w:space="720"/>
        </w:sectPr>
      </w:pPr>
    </w:p>
    <w:p w:rsidR="00161962" w:rsidRDefault="00161962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  <w:sectPr w:rsidR="00161962">
          <w:type w:val="continuous"/>
          <w:pgSz w:w="11900" w:h="16840"/>
          <w:pgMar w:top="1701" w:right="1134" w:bottom="1560" w:left="1701" w:header="1327" w:footer="584" w:gutter="0"/>
          <w:cols w:space="720"/>
        </w:sectPr>
      </w:pPr>
    </w:p>
    <w:p w:rsidR="00161962" w:rsidRDefault="00C408CD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                                                                        </w:t>
      </w:r>
    </w:p>
    <w:p w:rsidR="00161962" w:rsidRDefault="00C40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Antonio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Couto Nunes – Assessor Especial da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Presidência</w:t>
      </w: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61962" w:rsidRDefault="00C40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__________________________________</w:t>
      </w:r>
    </w:p>
    <w:p w:rsidR="00161962" w:rsidRDefault="00C408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Fernando Volkmer – Secretário</w:t>
      </w: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  <w:sectPr w:rsidR="00161962">
          <w:type w:val="continuous"/>
          <w:pgSz w:w="11900" w:h="16840"/>
          <w:pgMar w:top="1701" w:right="1134" w:bottom="1560" w:left="1701" w:header="1327" w:footer="584" w:gutter="0"/>
          <w:cols w:num="2" w:space="720" w:equalWidth="0">
            <w:col w:w="4178" w:space="708"/>
            <w:col w:w="4178" w:space="0"/>
          </w:cols>
        </w:sectPr>
      </w:pPr>
    </w:p>
    <w:p w:rsidR="00161962" w:rsidRDefault="001619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161962">
      <w:type w:val="continuous"/>
      <w:pgSz w:w="11900" w:h="16840"/>
      <w:pgMar w:top="1701" w:right="1134" w:bottom="1560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08CD">
      <w:r>
        <w:separator/>
      </w:r>
    </w:p>
  </w:endnote>
  <w:endnote w:type="continuationSeparator" w:id="0">
    <w:p w:rsidR="00000000" w:rsidRDefault="00C4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NewJuneLigh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62" w:rsidRDefault="00C408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:rsidR="00161962" w:rsidRDefault="00C408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08CD">
      <w:r>
        <w:separator/>
      </w:r>
    </w:p>
  </w:footnote>
  <w:footnote w:type="continuationSeparator" w:id="0">
    <w:p w:rsidR="00000000" w:rsidRDefault="00C4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62" w:rsidRDefault="001619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62" w:rsidRDefault="001619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250"/>
    <w:multiLevelType w:val="multilevel"/>
    <w:tmpl w:val="31D2B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C666F4"/>
    <w:multiLevelType w:val="multilevel"/>
    <w:tmpl w:val="E92858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62"/>
    <w:rsid w:val="00161962"/>
    <w:rsid w:val="00C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E926"/>
  <w15:docId w15:val="{2E7181C7-9A2E-4B30-9105-4AE5CAE5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FC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eastAsia="MS Mincho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23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BxU5K783TZ7sQieIdC/3IYozw==">AMUW2mW0s2JHGloRLh2fZI0doV2p6NaxofMtYx2mpELRaQ55+GU00pIzg3ZoKXm17zC0jjXmWDtqj2J2S6Z5C0y5kJ9hsNhWG9Df8CDZ2VXZCBrkNTdWRBELFoCHJ3EAT5F+0dHZEgla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1310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Mecabo</dc:creator>
  <cp:lastModifiedBy>Fernando de Oliveira Volkmer</cp:lastModifiedBy>
  <cp:revision>2</cp:revision>
  <dcterms:created xsi:type="dcterms:W3CDTF">2020-09-23T12:16:00Z</dcterms:created>
  <dcterms:modified xsi:type="dcterms:W3CDTF">2020-11-25T12:24:00Z</dcterms:modified>
</cp:coreProperties>
</file>