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2CD6C" w14:textId="77777777"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53F7350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02D12">
        <w:rPr>
          <w:rFonts w:ascii="Arial" w:hAnsi="Arial" w:cs="Arial"/>
          <w:b/>
          <w:sz w:val="22"/>
          <w:szCs w:val="22"/>
        </w:rPr>
        <w:t>0</w:t>
      </w:r>
      <w:r w:rsidR="00546774">
        <w:rPr>
          <w:rFonts w:ascii="Arial" w:hAnsi="Arial" w:cs="Arial"/>
          <w:b/>
          <w:sz w:val="22"/>
          <w:szCs w:val="22"/>
        </w:rPr>
        <w:t>5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7E379E0C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99D4DAD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B7385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8E607" w14:textId="77777777" w:rsidR="0097276A" w:rsidRPr="00DF21B9" w:rsidRDefault="00546774" w:rsidP="00546774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22/05</w:t>
            </w:r>
            <w:r w:rsidR="008A2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D698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5D806" w14:textId="77777777" w:rsidR="0097276A" w:rsidRPr="0097276A" w:rsidRDefault="009E7309" w:rsidP="005467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465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019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2571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 às 13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5467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14:paraId="4B48C64C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B9A41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9C433" w14:textId="77777777"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41EC2F6B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14:paraId="04518799" w14:textId="7777777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E40599" w14:textId="77777777"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2B77D5F" w14:textId="77777777"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14:paraId="1F81E88E" w14:textId="7777777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BA337" w14:textId="77777777"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D415C63" w14:textId="77777777" w:rsidR="00833127" w:rsidRDefault="009E7309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Yve Sarkis da Costa</w:t>
            </w:r>
          </w:p>
        </w:tc>
      </w:tr>
    </w:tbl>
    <w:p w14:paraId="55C357F7" w14:textId="77777777"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14:paraId="5C546BEE" w14:textId="7777777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28A67" w14:textId="77777777"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2DBD737C" w14:textId="77777777"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14:paraId="0ABC1345" w14:textId="77777777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80436B5" w14:textId="77777777"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4B3B5B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D4EFFE6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14:paraId="7E3EBB1C" w14:textId="77777777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14:paraId="6C3BE327" w14:textId="77777777"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51" w:type="dxa"/>
            <w:vAlign w:val="center"/>
          </w:tcPr>
          <w:p w14:paraId="50864BFF" w14:textId="77777777" w:rsidR="00F814AF" w:rsidRPr="0097276A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14:paraId="4B1E6727" w14:textId="77777777" w:rsidR="00F814AF" w:rsidRPr="00C25AA7" w:rsidRDefault="000933CA" w:rsidP="00C25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09:02</w:t>
            </w:r>
          </w:p>
        </w:tc>
        <w:tc>
          <w:tcPr>
            <w:tcW w:w="1410" w:type="dxa"/>
            <w:tcBorders>
              <w:right w:val="nil"/>
            </w:tcBorders>
          </w:tcPr>
          <w:p w14:paraId="6868241F" w14:textId="77777777" w:rsidR="00F814AF" w:rsidRPr="00C25AA7" w:rsidRDefault="00AB2E3E" w:rsidP="00C25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5B1ED1" w14:paraId="4C528BDB" w14:textId="77777777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14:paraId="479D190F" w14:textId="77777777" w:rsidR="005B1ED1" w:rsidRPr="00CE23CC" w:rsidRDefault="008A2E1E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Rosana Silveira</w:t>
            </w:r>
          </w:p>
        </w:tc>
        <w:tc>
          <w:tcPr>
            <w:tcW w:w="2551" w:type="dxa"/>
            <w:vAlign w:val="center"/>
          </w:tcPr>
          <w:p w14:paraId="70D71FE6" w14:textId="77777777" w:rsidR="005B1ED1" w:rsidRPr="0097276A" w:rsidRDefault="008A2E1E" w:rsidP="008A2E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Membra</w:t>
            </w:r>
          </w:p>
        </w:tc>
        <w:tc>
          <w:tcPr>
            <w:tcW w:w="1276" w:type="dxa"/>
          </w:tcPr>
          <w:p w14:paraId="07EFB764" w14:textId="77777777" w:rsidR="005B1ED1" w:rsidRPr="00F95F03" w:rsidRDefault="000933CA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09:06</w:t>
            </w:r>
          </w:p>
        </w:tc>
        <w:tc>
          <w:tcPr>
            <w:tcW w:w="1410" w:type="dxa"/>
            <w:tcBorders>
              <w:right w:val="nil"/>
            </w:tcBorders>
          </w:tcPr>
          <w:p w14:paraId="125B1C1F" w14:textId="77777777" w:rsidR="005B1ED1" w:rsidRPr="00B7254B" w:rsidRDefault="00AB2E3E" w:rsidP="008F2B2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5B1ED1" w14:paraId="32A47817" w14:textId="77777777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14:paraId="15CC2C0D" w14:textId="77777777" w:rsidR="005B1ED1" w:rsidRPr="00C54262" w:rsidRDefault="000933CA" w:rsidP="00C54262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Maurício Giusti </w:t>
            </w:r>
          </w:p>
        </w:tc>
        <w:tc>
          <w:tcPr>
            <w:tcW w:w="2551" w:type="dxa"/>
            <w:vAlign w:val="center"/>
          </w:tcPr>
          <w:p w14:paraId="54C299E1" w14:textId="77777777" w:rsidR="005B1ED1" w:rsidRPr="0097276A" w:rsidRDefault="000933CA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14:paraId="48963E8E" w14:textId="77777777" w:rsidR="005B1ED1" w:rsidRPr="00F95F03" w:rsidRDefault="000933CA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09:06</w:t>
            </w:r>
          </w:p>
        </w:tc>
        <w:tc>
          <w:tcPr>
            <w:tcW w:w="1410" w:type="dxa"/>
            <w:tcBorders>
              <w:right w:val="nil"/>
            </w:tcBorders>
          </w:tcPr>
          <w:p w14:paraId="46EAA40E" w14:textId="77777777" w:rsidR="005B1ED1" w:rsidRPr="00B7254B" w:rsidRDefault="00AB2E3E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</w:tbl>
    <w:p w14:paraId="6A9FDD60" w14:textId="77777777"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14:paraId="16A93E21" w14:textId="77777777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FC8F9C" w14:textId="77777777"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DFE15" w14:textId="77777777" w:rsidR="00F059C3" w:rsidRPr="00D87ADE" w:rsidRDefault="00D1086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Marcondes. </w:t>
            </w:r>
          </w:p>
        </w:tc>
      </w:tr>
      <w:tr w:rsidR="00F059C3" w14:paraId="2472A326" w14:textId="77777777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75C12AF0" w14:textId="77777777"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926D0" w14:textId="77777777"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14:paraId="077F1209" w14:textId="77777777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5CE9BB60" w14:textId="77777777"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63229" w14:textId="77777777"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14:paraId="4F1CF9D5" w14:textId="77777777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E38D28" w14:textId="77777777"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AFF9D" w14:textId="77777777"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14:paraId="25A94B61" w14:textId="77777777"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14:paraId="047353CF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ABD8A66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14:paraId="0F51D46D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762DD20" w14:textId="77777777"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A05EC" w14:textId="77777777" w:rsidR="00C25AA7" w:rsidRPr="00787836" w:rsidRDefault="00787836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787836">
              <w:rPr>
                <w:rFonts w:ascii="Arial" w:hAnsi="Arial" w:cs="Arial"/>
                <w:b w:val="0"/>
                <w:sz w:val="22"/>
                <w:szCs w:val="22"/>
              </w:rPr>
              <w:t>Leonardo Porto Bragaglia</w:t>
            </w:r>
          </w:p>
        </w:tc>
      </w:tr>
      <w:tr w:rsidR="00C25AA7" w:rsidRPr="00E039FC" w14:paraId="37293159" w14:textId="77777777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14F1B16" w14:textId="77777777"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EEB63" w14:textId="77777777" w:rsidR="00C25AA7" w:rsidRPr="008E07A7" w:rsidRDefault="00787836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4256EAE4" w14:textId="77777777" w:rsidR="00C25AA7" w:rsidRPr="00E039FC" w:rsidRDefault="00C25AA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49C1E319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7DF237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6840E191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321BFC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3686D95" w14:textId="77777777" w:rsidR="00833127" w:rsidRPr="00E039FC" w:rsidRDefault="00C25AA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14:paraId="1C1A5BDC" w14:textId="77777777"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194F2F2A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42B4C7" w14:textId="77777777" w:rsidR="00845AF6" w:rsidRDefault="00090C24" w:rsidP="00845A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da </w:t>
            </w:r>
            <w:r w:rsidR="00D02D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7878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  <w:r w:rsidR="00950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A2E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2020</w:t>
            </w:r>
            <w:r w:rsidR="008F2B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14:paraId="2C1E166D" w14:textId="77777777" w:rsidR="00845AF6" w:rsidRPr="0097276A" w:rsidRDefault="00845AF6" w:rsidP="00845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 e aprovação da Súmula da 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Extraordinária</w:t>
            </w: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COAF de 2020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DD11063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23B3D0A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6E6D4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3D374" w14:textId="77777777" w:rsidR="0097276A" w:rsidRPr="0042032D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14:paraId="4457488A" w14:textId="77777777"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42DD00D3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86BBBC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33757D37" w14:textId="77777777"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14:paraId="253CC2D6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1634C" w14:textId="77777777"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B3CEA" w14:textId="77777777" w:rsidR="00074F58" w:rsidRPr="00074F58" w:rsidRDefault="00B24FBD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Lima Rockenbach</w:t>
            </w:r>
          </w:p>
        </w:tc>
      </w:tr>
      <w:tr w:rsidR="00074F58" w:rsidRPr="00074F58" w14:paraId="5E09E02C" w14:textId="77777777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0B5FE3" w14:textId="77777777"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A60A0" w14:textId="77777777" w:rsidR="00383575" w:rsidRPr="00074F58" w:rsidRDefault="00383575" w:rsidP="008610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BE9D02D" w14:textId="77777777" w:rsidR="002B0F77" w:rsidRDefault="002B0F77" w:rsidP="00074F58">
      <w:pPr>
        <w:pStyle w:val="SemEspaamento"/>
        <w:rPr>
          <w:sz w:val="12"/>
          <w:szCs w:val="12"/>
        </w:rPr>
      </w:pPr>
    </w:p>
    <w:p w14:paraId="13E4202C" w14:textId="77777777" w:rsidR="002B0F77" w:rsidRDefault="002B0F77" w:rsidP="00074F58">
      <w:pPr>
        <w:pStyle w:val="SemEspaamento"/>
        <w:rPr>
          <w:sz w:val="12"/>
          <w:szCs w:val="12"/>
        </w:rPr>
      </w:pPr>
    </w:p>
    <w:p w14:paraId="31B2F8F3" w14:textId="77777777"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77B1FED7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054843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028A6968" w14:textId="77777777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4C811993" w14:textId="77777777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A7275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5A469" w14:textId="77777777" w:rsidR="002072EB" w:rsidRPr="00074F58" w:rsidRDefault="00A667B2" w:rsidP="005467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67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abril/2020</w:t>
            </w:r>
          </w:p>
        </w:tc>
      </w:tr>
      <w:tr w:rsidR="002072EB" w:rsidRPr="00074F58" w14:paraId="55EB511D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BEF68B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4F9AE" w14:textId="77777777"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14:paraId="6BB88007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93BB9F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1A6CB" w14:textId="77777777"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14:paraId="73EC687A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1474EC" w14:textId="77777777"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63642" w14:textId="77777777" w:rsidR="002939A2" w:rsidRPr="00074F58" w:rsidRDefault="002939A2" w:rsidP="002939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45A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do Gerente Financeiro do relatório</w:t>
            </w:r>
            <w:r w:rsidR="00AB2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os aspectos mais relevantes ocorridos no mês de abril e maio</w:t>
            </w:r>
            <w:r w:rsidR="00845A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4F70FCBE" w14:textId="77777777"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14:paraId="2650F294" w14:textId="77777777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9CD892" w14:textId="77777777"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D20D1" w14:textId="77777777" w:rsidR="001E08F2" w:rsidRPr="00386A40" w:rsidRDefault="00A667B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67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e análise da frustração de arrecadação 2020</w:t>
            </w:r>
          </w:p>
        </w:tc>
      </w:tr>
      <w:tr w:rsidR="00E81AE6" w:rsidRPr="00386A40" w14:paraId="03E89F77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76ECE3" w14:textId="77777777"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6A8122" w14:textId="77777777"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14:paraId="2816FE66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3A4EDB" w14:textId="77777777"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FEAFE" w14:textId="77777777"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14:paraId="12005B89" w14:textId="77777777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2A46BB" w14:textId="77777777"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825D7" w14:textId="77777777" w:rsidR="00C91528" w:rsidRPr="00386A40" w:rsidRDefault="00261C96" w:rsidP="00D02D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do Gerente Finan</w:t>
            </w:r>
            <w:r w:rsidR="00D70C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ceiro do comparativo de receita</w:t>
            </w:r>
            <w:r w:rsidR="00AB2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 queda de arrecadação percebida no período</w:t>
            </w:r>
            <w:r w:rsidR="00D70C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2C4539D" w14:textId="77777777"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14:paraId="7034102C" w14:textId="77777777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C87465" w14:textId="77777777"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60FAD" w14:textId="77777777" w:rsidR="00176A22" w:rsidRPr="00074F58" w:rsidRDefault="00A667B2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67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da Prestação de Contas e Relatório integrado de gestão TCU 2019</w:t>
            </w:r>
          </w:p>
        </w:tc>
      </w:tr>
      <w:tr w:rsidR="00176A22" w:rsidRPr="00074F58" w14:paraId="7D2E4BB4" w14:textId="77777777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5D6E42" w14:textId="77777777"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BA0A2" w14:textId="77777777"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14:paraId="6D56B4CF" w14:textId="77777777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1B24F5" w14:textId="77777777"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5D2D9" w14:textId="77777777" w:rsidR="00176A22" w:rsidRPr="00F5119C" w:rsidRDefault="006F4DE5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176A22" w:rsidRPr="00074F58" w14:paraId="58B3A7CE" w14:textId="77777777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634B35" w14:textId="77777777"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8FA36" w14:textId="77777777" w:rsidR="002E51F1" w:rsidRPr="00516F93" w:rsidRDefault="00516F93" w:rsidP="0054677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D70C46">
              <w:rPr>
                <w:rFonts w:ascii="Arial" w:eastAsia="Times New Roman" w:hAnsi="Arial" w:cs="Arial"/>
                <w:sz w:val="22"/>
                <w:szCs w:val="22"/>
              </w:rPr>
              <w:t>Gerente atualiza o status da prestação de contas do TCU 2019, futura mudança de formato e novos prazos estabelecidos.</w:t>
            </w:r>
          </w:p>
        </w:tc>
      </w:tr>
      <w:tr w:rsidR="00A404B9" w:rsidRPr="00074F58" w14:paraId="56D2DA10" w14:textId="77777777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980E5" w14:textId="77777777" w:rsidR="00A404B9" w:rsidRPr="00074F58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2C315" w14:textId="77777777"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248B" w:rsidRPr="00074F58" w14:paraId="431035C0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04850E" w14:textId="77777777"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163D8" w14:textId="77777777" w:rsidR="007E248B" w:rsidRPr="00074F58" w:rsidRDefault="00A667B2" w:rsidP="00FA4B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67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Atualizações e análise das solicitações da CTP e encaminhamentos</w:t>
            </w:r>
          </w:p>
        </w:tc>
      </w:tr>
      <w:tr w:rsidR="007E248B" w:rsidRPr="00074F58" w14:paraId="1833D195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EAF03F" w14:textId="77777777"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F977F" w14:textId="77777777"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074F58" w14:paraId="3FDB643E" w14:textId="77777777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FC10EE" w14:textId="77777777" w:rsidR="00FA4B19" w:rsidRPr="00074F58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23F18" w14:textId="77777777" w:rsidR="00FA4B19" w:rsidRPr="00074F58" w:rsidRDefault="00D70C46" w:rsidP="00FA4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0C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  <w:r w:rsidR="00B86F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6215F" w:rsidRPr="00C23625" w14:paraId="2F980723" w14:textId="77777777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A18746" w14:textId="77777777"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F5FB8" w14:textId="77777777" w:rsidR="00D6215F" w:rsidRPr="00386A40" w:rsidRDefault="00D6215F" w:rsidP="00B179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20F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Rosana compartilhou as informações de </w:t>
            </w:r>
            <w:r w:rsidR="002D3A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sua última reunião com a Casa Ci</w:t>
            </w:r>
            <w:r w:rsidR="00C20F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vil.</w:t>
            </w:r>
            <w:r w:rsidR="00B179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Ficou determinado que o CAU providencie um termo de compromisso com o Estado para que o </w:t>
            </w:r>
            <w:r w:rsidR="00E662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</w:t>
            </w:r>
            <w:r w:rsidR="00B179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possa desenvolver um levantamento técnico estrutural e físico do Edifício para uma futura </w:t>
            </w:r>
            <w:r w:rsidR="00E662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assinatura</w:t>
            </w:r>
            <w:r w:rsidR="00B179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um termo de sessão de uso. </w:t>
            </w:r>
          </w:p>
        </w:tc>
      </w:tr>
    </w:tbl>
    <w:p w14:paraId="765695C4" w14:textId="77777777" w:rsidR="007E248B" w:rsidRDefault="007E248B" w:rsidP="00074F58">
      <w:pPr>
        <w:pStyle w:val="SemEspaamento"/>
        <w:rPr>
          <w:sz w:val="12"/>
          <w:szCs w:val="22"/>
        </w:rPr>
      </w:pPr>
    </w:p>
    <w:p w14:paraId="72BC680D" w14:textId="77777777"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14:paraId="3A92DF63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F0B1A2" w14:textId="77777777"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B77E1" w14:textId="77777777" w:rsidR="00907741" w:rsidRPr="00C23625" w:rsidRDefault="00A667B2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67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pedidos de Ressarcimento não cobertos pela Resolução 152 do CAU/BR</w:t>
            </w:r>
          </w:p>
        </w:tc>
      </w:tr>
      <w:tr w:rsidR="00907741" w:rsidRPr="00C23625" w14:paraId="513A512A" w14:textId="77777777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909B21" w14:textId="77777777"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C0360" w14:textId="77777777"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  <w:r w:rsidR="00C20F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A4B19" w:rsidRPr="00C23625" w14:paraId="216A2F48" w14:textId="77777777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48A98D" w14:textId="77777777"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D5247" w14:textId="77777777" w:rsidR="00FA4B19" w:rsidRPr="00F5119C" w:rsidRDefault="00FA4B19" w:rsidP="00FA4B19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D6215F" w:rsidRPr="00C23625" w14:paraId="35F99889" w14:textId="77777777" w:rsidTr="0079407D">
        <w:trPr>
          <w:trHeight w:val="118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A4AD8F" w14:textId="77777777"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2F69B" w14:textId="77777777" w:rsidR="00D6215F" w:rsidRDefault="0016201C" w:rsidP="0016201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solicitação do profissional Ricardo Fonseca</w:t>
            </w:r>
            <w:r w:rsidR="00B518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forma como foi apresentada não atende a resolução e desta maneira não pode ser deferida. Serão solicitadas mais informações sobre essa solicitação de ressarcimento ao profissional e arquivada a solicitação nº</w:t>
            </w:r>
            <w:r w:rsidRPr="00DB6F32">
              <w:rPr>
                <w:rFonts w:ascii="Arial" w:eastAsia="Times New Roman" w:hAnsi="Arial" w:cs="Arial"/>
                <w:color w:val="000000"/>
                <w:lang w:eastAsia="pt-BR"/>
              </w:rPr>
              <w:t>18253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14:paraId="77DB5FDD" w14:textId="77777777" w:rsidR="0016201C" w:rsidRPr="00386A40" w:rsidRDefault="008A0D05" w:rsidP="006F7D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18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tratar a</w:t>
            </w:r>
            <w:r w:rsidR="0016201C" w:rsidRPr="00B518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solicitação de ressarcimento nº 17764 do</w:t>
            </w:r>
            <w:r w:rsidRPr="00B518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profissional André Gasparetto foi convidada a gerente Melina Marcondes para dar maior</w:t>
            </w:r>
            <w:r w:rsidR="005F3EF6" w:rsidRPr="00B518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 esclarecimentos sobre o caso.</w:t>
            </w:r>
            <w:r w:rsidRPr="00B518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 análise foi decidido </w:t>
            </w:r>
            <w:r w:rsidR="006F7DEB" w:rsidRPr="00B518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deferimento</w:t>
            </w:r>
            <w:r w:rsidR="005F3EF6" w:rsidRPr="00B518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</w:t>
            </w:r>
            <w:r w:rsidR="006F7DEB" w:rsidRPr="00B518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solicitação devido a constatação de que o sistema apresenta fragilidade no momento do preenchimento, permitindo equívocos.</w:t>
            </w:r>
            <w:r w:rsidR="006F7DE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</w:tbl>
    <w:p w14:paraId="435D8993" w14:textId="77777777"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14:paraId="70CC1054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73A304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1CFC1" w14:textId="77777777" w:rsidR="00F97FD9" w:rsidRPr="00074F58" w:rsidRDefault="00A667B2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67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Encaminhamentos sobre parecer jurídico CAU/SC sobre MP 936/20</w:t>
            </w:r>
          </w:p>
        </w:tc>
      </w:tr>
      <w:tr w:rsidR="00F97FD9" w:rsidRPr="00074F58" w14:paraId="0ACB3760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9B51F6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4367D" w14:textId="77777777"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14:paraId="3F547701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1808CF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6CA1D" w14:textId="77777777"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063C0" w:rsidRPr="00C23625" w14:paraId="6876CA49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662B3F" w14:textId="77777777"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5DE1D" w14:textId="77777777" w:rsidR="00C75D47" w:rsidRPr="00E81AE6" w:rsidRDefault="00B11348" w:rsidP="003B31E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Discussão ficou de ser retomada futuramente.</w:t>
            </w:r>
          </w:p>
        </w:tc>
      </w:tr>
    </w:tbl>
    <w:p w14:paraId="303B44DD" w14:textId="77777777"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14:paraId="184B6BB4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CD8CCD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F8F5B" w14:textId="77777777" w:rsidR="00F97FD9" w:rsidRPr="00074F58" w:rsidRDefault="00A667B2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67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 de proposta para redução do valor de RRT em 50%</w:t>
            </w:r>
          </w:p>
        </w:tc>
      </w:tr>
      <w:tr w:rsidR="00F97FD9" w:rsidRPr="00074F58" w14:paraId="08F28FBE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6FA379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F0C94" w14:textId="77777777"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14:paraId="540FCD0E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8116CE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4D22C" w14:textId="77777777"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063C0" w:rsidRPr="00C23625" w14:paraId="6EB1CD6E" w14:textId="77777777" w:rsidTr="003F1D4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3A8193" w14:textId="77777777"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9EF65" w14:textId="77777777" w:rsidR="00806732" w:rsidRPr="00E81AE6" w:rsidRDefault="00B11348" w:rsidP="00BE460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Por ser uma pauta de sugestão da conselheira Silvya, ela mesma explanou os motivos para </w:t>
            </w:r>
            <w:r w:rsidR="003F1D4B">
              <w:rPr>
                <w:rFonts w:ascii="Arial" w:eastAsia="Times New Roman" w:hAnsi="Arial" w:cs="Arial"/>
                <w:sz w:val="22"/>
                <w:szCs w:val="22"/>
              </w:rPr>
              <w:t>esta proposta ser debatida.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F1D4B">
              <w:rPr>
                <w:rFonts w:ascii="Arial" w:eastAsia="Times New Roman" w:hAnsi="Arial" w:cs="Arial"/>
                <w:sz w:val="22"/>
                <w:szCs w:val="22"/>
              </w:rPr>
              <w:t xml:space="preserve">A conselheira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pediu para ouvir a palavra e sugestões dos outros integrantes da </w:t>
            </w:r>
            <w:r w:rsidR="003F1D4B">
              <w:rPr>
                <w:rFonts w:ascii="Arial" w:eastAsia="Times New Roman" w:hAnsi="Arial" w:cs="Arial"/>
                <w:sz w:val="22"/>
                <w:szCs w:val="22"/>
              </w:rPr>
              <w:t>COAF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com o intuito de apresentar uma proposta ao CD. </w:t>
            </w:r>
            <w:r w:rsidR="003F1D4B">
              <w:rPr>
                <w:rFonts w:ascii="Arial" w:eastAsia="Times New Roman" w:hAnsi="Arial" w:cs="Arial"/>
                <w:sz w:val="22"/>
                <w:szCs w:val="22"/>
              </w:rPr>
              <w:t xml:space="preserve">Ficou decidido a elaboração de um estudo de impactos sobre este projeto no sentido de que as </w:t>
            </w:r>
            <w:proofErr w:type="spellStart"/>
            <w:r w:rsidR="003F1D4B">
              <w:rPr>
                <w:rFonts w:ascii="Arial" w:eastAsia="Times New Roman" w:hAnsi="Arial" w:cs="Arial"/>
                <w:sz w:val="22"/>
                <w:szCs w:val="22"/>
              </w:rPr>
              <w:t>RRTs</w:t>
            </w:r>
            <w:proofErr w:type="spellEnd"/>
            <w:r w:rsidR="003F1D4B">
              <w:rPr>
                <w:rFonts w:ascii="Arial" w:eastAsia="Times New Roman" w:hAnsi="Arial" w:cs="Arial"/>
                <w:sz w:val="22"/>
                <w:szCs w:val="22"/>
              </w:rPr>
              <w:t xml:space="preserve"> recebam o desconto de 50% pelos próximos 3 meses e quanto deixaria </w:t>
            </w:r>
            <w:r w:rsidR="00E66239">
              <w:rPr>
                <w:rFonts w:ascii="Arial" w:eastAsia="Times New Roman" w:hAnsi="Arial" w:cs="Arial"/>
                <w:sz w:val="22"/>
                <w:szCs w:val="22"/>
              </w:rPr>
              <w:t>de ser arrecado nesse período, a</w:t>
            </w:r>
            <w:r w:rsidR="003F1D4B">
              <w:rPr>
                <w:rFonts w:ascii="Arial" w:eastAsia="Times New Roman" w:hAnsi="Arial" w:cs="Arial"/>
                <w:sz w:val="22"/>
                <w:szCs w:val="22"/>
              </w:rPr>
              <w:t xml:space="preserve"> ideia é que esta “perda” seja complementada com o superávit de exercícios anteriores. Também foi solicitado um estudo de quantidade média de emissão de </w:t>
            </w:r>
            <w:proofErr w:type="spellStart"/>
            <w:r w:rsidR="003F1D4B">
              <w:rPr>
                <w:rFonts w:ascii="Arial" w:eastAsia="Times New Roman" w:hAnsi="Arial" w:cs="Arial"/>
                <w:sz w:val="22"/>
                <w:szCs w:val="22"/>
              </w:rPr>
              <w:t>RRT</w:t>
            </w:r>
            <w:r w:rsidR="00D1086A">
              <w:rPr>
                <w:rFonts w:ascii="Arial" w:eastAsia="Times New Roman" w:hAnsi="Arial" w:cs="Arial"/>
                <w:sz w:val="22"/>
                <w:szCs w:val="22"/>
              </w:rPr>
              <w:t>’s</w:t>
            </w:r>
            <w:proofErr w:type="spellEnd"/>
            <w:r w:rsidR="003F1D4B">
              <w:rPr>
                <w:rFonts w:ascii="Arial" w:eastAsia="Times New Roman" w:hAnsi="Arial" w:cs="Arial"/>
                <w:sz w:val="22"/>
                <w:szCs w:val="22"/>
              </w:rPr>
              <w:t xml:space="preserve"> por profissional por ano para</w:t>
            </w:r>
            <w:r w:rsidR="00E66239">
              <w:rPr>
                <w:rFonts w:ascii="Arial" w:eastAsia="Times New Roman" w:hAnsi="Arial" w:cs="Arial"/>
                <w:sz w:val="22"/>
                <w:szCs w:val="22"/>
              </w:rPr>
              <w:t xml:space="preserve"> que</w:t>
            </w:r>
            <w:r w:rsidR="003F1D4B">
              <w:rPr>
                <w:rFonts w:ascii="Arial" w:eastAsia="Times New Roman" w:hAnsi="Arial" w:cs="Arial"/>
                <w:sz w:val="22"/>
                <w:szCs w:val="22"/>
              </w:rPr>
              <w:t xml:space="preserve"> na </w:t>
            </w:r>
            <w:r w:rsidR="00E66239">
              <w:rPr>
                <w:rFonts w:ascii="Arial" w:eastAsia="Times New Roman" w:hAnsi="Arial" w:cs="Arial"/>
                <w:sz w:val="22"/>
                <w:szCs w:val="22"/>
              </w:rPr>
              <w:t>sequência possa</w:t>
            </w:r>
            <w:r w:rsidR="003F1D4B">
              <w:rPr>
                <w:rFonts w:ascii="Arial" w:eastAsia="Times New Roman" w:hAnsi="Arial" w:cs="Arial"/>
                <w:sz w:val="22"/>
                <w:szCs w:val="22"/>
              </w:rPr>
              <w:t xml:space="preserve"> desenvolver uma proposta de escalonamento no custo das anuidades. </w:t>
            </w:r>
          </w:p>
        </w:tc>
      </w:tr>
      <w:tr w:rsidR="003F1D4B" w:rsidRPr="00C23625" w14:paraId="7A8D8351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622E9B3" w14:textId="77777777" w:rsidR="003F1D4B" w:rsidRPr="00C23625" w:rsidRDefault="003F1D4B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C51DD" w14:textId="77777777" w:rsidR="003F1D4B" w:rsidRDefault="003F1D4B" w:rsidP="003F1D4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1F3BA55" w14:textId="77777777"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14:paraId="2985D1D3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4004C1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32A98" w14:textId="77777777" w:rsidR="00F97FD9" w:rsidRPr="00074F58" w:rsidRDefault="00A667B2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67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 de incentivo para RRT de interiores</w:t>
            </w:r>
          </w:p>
        </w:tc>
      </w:tr>
      <w:tr w:rsidR="00F97FD9" w:rsidRPr="00074F58" w14:paraId="21FB5442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CF65DF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3C3CC" w14:textId="77777777"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14:paraId="5888C12F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DC3813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01169" w14:textId="77777777"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F97FD9" w:rsidRPr="00C23625" w14:paraId="1FBA65A8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681253" w14:textId="77777777"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3C35B" w14:textId="77777777" w:rsidR="001F2A72" w:rsidRPr="00546774" w:rsidRDefault="00B5623C" w:rsidP="00E6623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Será tratado conjuntamente com o item 7. Conselheira Silvya informou que há outro CAU com essa forma de </w:t>
            </w:r>
            <w:r w:rsidR="00D1086A">
              <w:rPr>
                <w:rFonts w:ascii="Arial" w:eastAsia="Times New Roman" w:hAnsi="Arial" w:cs="Arial"/>
                <w:sz w:val="22"/>
                <w:szCs w:val="22"/>
              </w:rPr>
              <w:t>incentivo que gerou</w:t>
            </w:r>
            <w:r w:rsidR="00E66239">
              <w:rPr>
                <w:rFonts w:ascii="Arial" w:eastAsia="Times New Roman" w:hAnsi="Arial" w:cs="Arial"/>
                <w:sz w:val="22"/>
                <w:szCs w:val="22"/>
              </w:rPr>
              <w:t xml:space="preserve"> bons</w:t>
            </w:r>
            <w:r w:rsidR="00D1086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ED3D4A">
              <w:rPr>
                <w:rFonts w:ascii="Arial" w:eastAsia="Times New Roman" w:hAnsi="Arial" w:cs="Arial"/>
                <w:sz w:val="22"/>
                <w:szCs w:val="22"/>
              </w:rPr>
              <w:t>resultados.  Solicitou</w:t>
            </w:r>
            <w:r w:rsidR="009A229E">
              <w:rPr>
                <w:rFonts w:ascii="Arial" w:eastAsia="Times New Roman" w:hAnsi="Arial" w:cs="Arial"/>
                <w:sz w:val="22"/>
                <w:szCs w:val="22"/>
              </w:rPr>
              <w:t xml:space="preserve"> que fossem buscadas mais informações sobre</w:t>
            </w:r>
            <w:r w:rsidR="00ED3D4A">
              <w:rPr>
                <w:rFonts w:ascii="Arial" w:eastAsia="Times New Roman" w:hAnsi="Arial" w:cs="Arial"/>
                <w:sz w:val="22"/>
                <w:szCs w:val="22"/>
              </w:rPr>
              <w:t xml:space="preserve"> o projeto de incentivo de </w:t>
            </w:r>
            <w:r w:rsidR="00E66239">
              <w:rPr>
                <w:rFonts w:ascii="Arial" w:eastAsia="Times New Roman" w:hAnsi="Arial" w:cs="Arial"/>
                <w:sz w:val="22"/>
                <w:szCs w:val="22"/>
              </w:rPr>
              <w:t>RRT de</w:t>
            </w:r>
            <w:r w:rsidR="00ED3D4A">
              <w:rPr>
                <w:rFonts w:ascii="Arial" w:eastAsia="Times New Roman" w:hAnsi="Arial" w:cs="Arial"/>
                <w:sz w:val="22"/>
                <w:szCs w:val="22"/>
              </w:rPr>
              <w:t xml:space="preserve"> interiores de outros </w:t>
            </w:r>
            <w:proofErr w:type="spellStart"/>
            <w:r w:rsidR="00ED3D4A">
              <w:rPr>
                <w:rFonts w:ascii="Arial" w:eastAsia="Times New Roman" w:hAnsi="Arial" w:cs="Arial"/>
                <w:sz w:val="22"/>
                <w:szCs w:val="22"/>
              </w:rPr>
              <w:t>CAU</w:t>
            </w:r>
            <w:r w:rsidR="00E66239">
              <w:rPr>
                <w:rFonts w:ascii="Arial" w:eastAsia="Times New Roman" w:hAnsi="Arial" w:cs="Arial"/>
                <w:sz w:val="22"/>
                <w:szCs w:val="22"/>
              </w:rPr>
              <w:t>’</w:t>
            </w:r>
            <w:r w:rsidR="00ED3D4A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proofErr w:type="spellEnd"/>
            <w:r w:rsidR="009A229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ED3D4A">
              <w:rPr>
                <w:rFonts w:ascii="Arial" w:eastAsia="Times New Roman" w:hAnsi="Arial" w:cs="Arial"/>
                <w:sz w:val="22"/>
                <w:szCs w:val="22"/>
              </w:rPr>
              <w:t>e solicitou um estudo da possibilidade de fornecer o atestado de acervo técnico sem cu</w:t>
            </w:r>
            <w:r w:rsidR="006E232A">
              <w:rPr>
                <w:rFonts w:ascii="Arial" w:eastAsia="Times New Roman" w:hAnsi="Arial" w:cs="Arial"/>
                <w:sz w:val="22"/>
                <w:szCs w:val="22"/>
              </w:rPr>
              <w:t xml:space="preserve">sto para as </w:t>
            </w:r>
            <w:proofErr w:type="spellStart"/>
            <w:r w:rsidR="006E232A">
              <w:rPr>
                <w:rFonts w:ascii="Arial" w:eastAsia="Times New Roman" w:hAnsi="Arial" w:cs="Arial"/>
                <w:sz w:val="22"/>
                <w:szCs w:val="22"/>
              </w:rPr>
              <w:t>RRTs</w:t>
            </w:r>
            <w:proofErr w:type="spellEnd"/>
            <w:r w:rsidR="006E232A">
              <w:rPr>
                <w:rFonts w:ascii="Arial" w:eastAsia="Times New Roman" w:hAnsi="Arial" w:cs="Arial"/>
                <w:sz w:val="22"/>
                <w:szCs w:val="22"/>
              </w:rPr>
              <w:t xml:space="preserve"> de interiores</w:t>
            </w:r>
            <w:r w:rsidR="00E66239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BE4607">
              <w:rPr>
                <w:rFonts w:ascii="Arial" w:eastAsia="Times New Roman" w:hAnsi="Arial" w:cs="Arial"/>
                <w:sz w:val="22"/>
                <w:szCs w:val="22"/>
              </w:rPr>
              <w:t xml:space="preserve"> verificando com</w:t>
            </w:r>
            <w:r w:rsidR="006E232A">
              <w:rPr>
                <w:rFonts w:ascii="Arial" w:eastAsia="Times New Roman" w:hAnsi="Arial" w:cs="Arial"/>
                <w:sz w:val="22"/>
                <w:szCs w:val="22"/>
              </w:rPr>
              <w:t xml:space="preserve"> gerência técnica quais as etapas de solicitar esse acervo. </w:t>
            </w:r>
          </w:p>
        </w:tc>
      </w:tr>
    </w:tbl>
    <w:p w14:paraId="4CDAB193" w14:textId="77777777"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F2B25" w:rsidRPr="00074F58" w14:paraId="21DBBA00" w14:textId="77777777" w:rsidTr="0013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DB428B" w14:textId="77777777" w:rsidR="008F2B25" w:rsidRPr="00074F58" w:rsidRDefault="001F5E47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94CF27" w14:textId="77777777" w:rsidR="008F2B25" w:rsidRPr="00074F58" w:rsidRDefault="00A667B2" w:rsidP="0013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67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Anteprojeto de regulamentação sobre os processos de intervenção do CAU/BR nos CAU/UF</w:t>
            </w:r>
          </w:p>
        </w:tc>
      </w:tr>
      <w:tr w:rsidR="008F2B25" w:rsidRPr="00074F58" w14:paraId="415EE88C" w14:textId="77777777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7B59A3" w14:textId="77777777" w:rsidR="008F2B25" w:rsidRPr="00074F58" w:rsidRDefault="008F2B25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A7F34" w14:textId="77777777" w:rsidR="008F2B25" w:rsidRPr="00074F58" w:rsidRDefault="008F2B25" w:rsidP="001329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8F2B25" w:rsidRPr="00074F58" w14:paraId="30C37324" w14:textId="77777777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0C29F5" w14:textId="77777777" w:rsidR="008F2B25" w:rsidRPr="00074F58" w:rsidRDefault="008F2B25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299CE" w14:textId="77777777" w:rsidR="008F2B25" w:rsidRPr="00074F58" w:rsidRDefault="008F2B25" w:rsidP="001F2A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</w:t>
            </w:r>
            <w:r w:rsidR="001F2A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Geral Alcenira Vanderlinde</w:t>
            </w:r>
          </w:p>
        </w:tc>
      </w:tr>
      <w:tr w:rsidR="00D6215F" w:rsidRPr="00C23625" w14:paraId="5F96F740" w14:textId="77777777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24F6EE" w14:textId="77777777"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1F3E9" w14:textId="77777777" w:rsidR="00D6215F" w:rsidRPr="00386A40" w:rsidRDefault="0087042C" w:rsidP="0087042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financeiro apresentou deliberação da COA e a forma como o CAU/BR poderia interferir nos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UF em busca </w:t>
            </w:r>
            <w:r w:rsidR="006F7D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unificação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processos, dando ciência a comissão. </w:t>
            </w:r>
            <w:r w:rsidR="00F31A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Silvya solicitou que o material fosse anexado à intranet para uma análise mais aprofundada.</w:t>
            </w:r>
          </w:p>
        </w:tc>
      </w:tr>
    </w:tbl>
    <w:p w14:paraId="3D9848A3" w14:textId="77777777"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7090"/>
        <w:gridCol w:w="142"/>
      </w:tblGrid>
      <w:tr w:rsidR="00B93F58" w:rsidRPr="00074F58" w14:paraId="40206D4E" w14:textId="77777777" w:rsidTr="002571BA">
        <w:trPr>
          <w:gridAfter w:val="1"/>
          <w:wAfter w:w="142" w:type="dxa"/>
          <w:trHeight w:val="273"/>
        </w:trPr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76EC2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0BE47" w14:textId="77777777" w:rsidR="00B93F58" w:rsidRPr="00074F58" w:rsidRDefault="00A667B2" w:rsidP="007A47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67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 edital de chamada pública CAU/SC 04/2019</w:t>
            </w:r>
          </w:p>
        </w:tc>
      </w:tr>
      <w:tr w:rsidR="00B93F58" w:rsidRPr="00074F58" w14:paraId="40C979A3" w14:textId="77777777" w:rsidTr="002571BA">
        <w:trPr>
          <w:gridAfter w:val="1"/>
          <w:wAfter w:w="142" w:type="dxa"/>
          <w:trHeight w:val="273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0E1611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154A8" w14:textId="77777777"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B93F58" w:rsidRPr="00074F58" w14:paraId="01D81B53" w14:textId="77777777" w:rsidTr="002571BA">
        <w:trPr>
          <w:gridAfter w:val="1"/>
          <w:wAfter w:w="142" w:type="dxa"/>
          <w:trHeight w:val="273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4C3C6F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7161C" w14:textId="77777777" w:rsidR="00B93F58" w:rsidRPr="00074F58" w:rsidRDefault="00B93F58" w:rsidP="007A47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D6215F" w:rsidRPr="00C23625" w14:paraId="058D3B81" w14:textId="77777777" w:rsidTr="002571BA">
        <w:trPr>
          <w:gridAfter w:val="1"/>
          <w:wAfter w:w="142" w:type="dxa"/>
          <w:trHeight w:val="273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9CE8E3" w14:textId="77777777"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F2CF9" w14:textId="77777777" w:rsidR="00D6215F" w:rsidRPr="00386A40" w:rsidRDefault="00D6215F" w:rsidP="005467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F7D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Filipe fez os informes r</w:t>
            </w:r>
            <w:r w:rsidR="00F31A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eferente a esta chamada pública, atualizando sobres as atualizações de cronograma e próximas etapas.</w:t>
            </w:r>
          </w:p>
        </w:tc>
      </w:tr>
      <w:tr w:rsidR="00A667B2" w:rsidRPr="00C23625" w14:paraId="56473C2B" w14:textId="77777777" w:rsidTr="002571BA">
        <w:trPr>
          <w:gridAfter w:val="1"/>
          <w:wAfter w:w="142" w:type="dxa"/>
          <w:trHeight w:val="273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07EAF" w14:textId="77777777" w:rsidR="00A667B2" w:rsidRDefault="00A667B2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5D78C99A" w14:textId="77777777" w:rsidR="00A667B2" w:rsidRPr="00C23625" w:rsidRDefault="00A667B2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B0477" w14:textId="77777777" w:rsidR="00A667B2" w:rsidRDefault="00A667B2" w:rsidP="005467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667B2" w:rsidRPr="00074F58" w14:paraId="0636C2AA" w14:textId="77777777" w:rsidTr="002571BA">
        <w:trPr>
          <w:gridAfter w:val="1"/>
          <w:wAfter w:w="142" w:type="dxa"/>
          <w:trHeight w:val="273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DC300A" w14:textId="77777777" w:rsidR="00A667B2" w:rsidRPr="00074F58" w:rsidRDefault="00A667B2" w:rsidP="006E2B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BB11E" w14:textId="77777777" w:rsidR="00A667B2" w:rsidRPr="00A667B2" w:rsidRDefault="00A667B2" w:rsidP="006E2B61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67B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Revisão e Análise dos Processos Administrativos de Cobrança, Análise dos pedidos de Revisão de Cobrança e atualização da inscrição em Dívida Ativa</w:t>
            </w:r>
          </w:p>
        </w:tc>
      </w:tr>
      <w:tr w:rsidR="00A667B2" w:rsidRPr="00074F58" w14:paraId="04D87874" w14:textId="77777777" w:rsidTr="002571BA">
        <w:trPr>
          <w:gridAfter w:val="1"/>
          <w:wAfter w:w="142" w:type="dxa"/>
          <w:trHeight w:val="273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D6A37C" w14:textId="77777777" w:rsidR="00A667B2" w:rsidRPr="00074F58" w:rsidRDefault="00A667B2" w:rsidP="006E2B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AC0F0" w14:textId="77777777" w:rsidR="00A667B2" w:rsidRPr="00074F58" w:rsidRDefault="00A667B2" w:rsidP="006E2B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A667B2" w:rsidRPr="00074F58" w14:paraId="42B3C64E" w14:textId="77777777" w:rsidTr="002571BA">
        <w:trPr>
          <w:gridAfter w:val="1"/>
          <w:wAfter w:w="142" w:type="dxa"/>
          <w:trHeight w:val="273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91B5A1" w14:textId="77777777" w:rsidR="00A667B2" w:rsidRPr="00074F58" w:rsidRDefault="00A667B2" w:rsidP="006E2B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1EA3C" w14:textId="77777777" w:rsidR="00A667B2" w:rsidRPr="00074F58" w:rsidRDefault="00A667B2" w:rsidP="00A667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A667B2" w:rsidRPr="00C23625" w14:paraId="5827FF78" w14:textId="77777777" w:rsidTr="002571BA">
        <w:trPr>
          <w:gridAfter w:val="1"/>
          <w:wAfter w:w="142" w:type="dxa"/>
          <w:trHeight w:val="273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CB7542" w14:textId="77777777" w:rsidR="00A667B2" w:rsidRPr="00C23625" w:rsidRDefault="00A667B2" w:rsidP="006E2B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E0D10" w14:textId="77777777" w:rsidR="00A667B2" w:rsidRPr="00386A40" w:rsidRDefault="00A667B2" w:rsidP="006E2B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E2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apresentou as solicitações que chegaram para anális</w:t>
            </w:r>
            <w:r w:rsidR="00B518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e deram os encaminhamentos conforme</w:t>
            </w:r>
            <w:r w:rsidR="006E2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deliberações</w:t>
            </w:r>
            <w:r w:rsidR="00B518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29/2020, 30/2020 e 31/2020</w:t>
            </w:r>
            <w:r w:rsidR="006E2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A667B2" w:rsidRPr="00386A40" w14:paraId="198E0E9E" w14:textId="77777777" w:rsidTr="00BA2EBA">
        <w:trPr>
          <w:trHeight w:val="273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08493" w14:textId="77777777" w:rsidR="00A667B2" w:rsidRPr="00C23625" w:rsidRDefault="00A667B2" w:rsidP="007940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AB70D" w14:textId="77777777" w:rsidR="00A667B2" w:rsidRDefault="00A667B2" w:rsidP="006E2B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AFD1150" w14:textId="77777777" w:rsidR="00A667B2" w:rsidRDefault="00A667B2" w:rsidP="006E2B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667B2" w:rsidRPr="00A667B2" w14:paraId="2C05941C" w14:textId="77777777" w:rsidTr="00BA2EBA">
        <w:trPr>
          <w:trHeight w:val="273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D39418" w14:textId="77777777" w:rsidR="00A667B2" w:rsidRPr="00074F58" w:rsidRDefault="00A667B2" w:rsidP="006E2B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54E9C" w14:textId="77777777" w:rsidR="00A667B2" w:rsidRPr="00A667B2" w:rsidRDefault="00A667B2" w:rsidP="006E2B61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67B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Atualização da Portaria Normativa Nº 005 de 03 de abril de 2017 (contrato de trabalho)</w:t>
            </w:r>
          </w:p>
        </w:tc>
      </w:tr>
      <w:tr w:rsidR="00A667B2" w:rsidRPr="00074F58" w14:paraId="69776FF7" w14:textId="77777777" w:rsidTr="00BA2EBA">
        <w:trPr>
          <w:trHeight w:val="273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0FBD0D" w14:textId="77777777" w:rsidR="00A667B2" w:rsidRPr="00074F58" w:rsidRDefault="00A667B2" w:rsidP="006E2B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4957C" w14:textId="77777777" w:rsidR="00A667B2" w:rsidRPr="00074F58" w:rsidRDefault="00A667B2" w:rsidP="006E2B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A667B2" w:rsidRPr="00074F58" w14:paraId="0D07ECA9" w14:textId="77777777" w:rsidTr="00BA2EBA">
        <w:trPr>
          <w:trHeight w:val="273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F403B" w14:textId="77777777" w:rsidR="00A667B2" w:rsidRPr="00074F58" w:rsidRDefault="00A667B2" w:rsidP="006E2B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FE7AF" w14:textId="77777777" w:rsidR="00A667B2" w:rsidRPr="00074F58" w:rsidRDefault="00A667B2" w:rsidP="006E2B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A667B2" w:rsidRPr="00386A40" w14:paraId="71CFC39D" w14:textId="77777777" w:rsidTr="00BA2EBA">
        <w:trPr>
          <w:trHeight w:val="273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0EB8D5" w14:textId="77777777" w:rsidR="00A667B2" w:rsidRPr="00C23625" w:rsidRDefault="00A667B2" w:rsidP="006E2B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58803" w14:textId="77777777" w:rsidR="00A667B2" w:rsidRPr="00386A40" w:rsidRDefault="00A667B2" w:rsidP="00BA2EB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F7D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orientação do jurídico do CAU/SC foi solicitado </w:t>
            </w:r>
            <w:r w:rsidR="00BA2E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apreciação da COAF adequações</w:t>
            </w:r>
            <w:r w:rsidR="006F7D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contrato de trabalho por prazo determ</w:t>
            </w:r>
            <w:r w:rsidR="00BA2E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inado por regime de experiência, sendo que o gerente repassou todos os apontamentos efetuados pela ASJUR. Os conselheiros aprovaram o novo modelo de contrato de trabalho. </w:t>
            </w:r>
          </w:p>
        </w:tc>
      </w:tr>
    </w:tbl>
    <w:p w14:paraId="7CE7E07F" w14:textId="77777777"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Sect="00BF35B0">
          <w:headerReference w:type="even" r:id="rId8"/>
          <w:headerReference w:type="default" r:id="rId9"/>
          <w:footerReference w:type="even" r:id="rId10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6B0E3F4A" w14:textId="505A868D" w:rsidR="00FB1565" w:rsidRPr="00195A62" w:rsidRDefault="00FB1565" w:rsidP="00195A62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C9EDD9D" w14:textId="77777777"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3BFB35C2" w14:textId="5F0CC4D8"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num="2" w:space="708"/>
          <w:docGrid w:linePitch="326"/>
        </w:sectPr>
      </w:pPr>
    </w:p>
    <w:p w14:paraId="2F4A28D2" w14:textId="77777777" w:rsidR="00FB1565" w:rsidRP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                     </w:t>
      </w:r>
      <w:r w:rsidRPr="00FB1565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14:paraId="4B0CD5DB" w14:textId="77777777"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687AFAA" w14:textId="66E7CC7E" w:rsidR="00E57968" w:rsidRDefault="00E57968" w:rsidP="00E57968">
      <w:pPr>
        <w:jc w:val="both"/>
        <w:rPr>
          <w:rFonts w:ascii="Arial" w:hAnsi="Arial" w:cs="Arial"/>
          <w:sz w:val="22"/>
          <w:szCs w:val="22"/>
        </w:rPr>
      </w:pPr>
      <w:r w:rsidRPr="00622862">
        <w:rPr>
          <w:rFonts w:ascii="Arial" w:hAnsi="Arial" w:cs="Arial"/>
          <w:sz w:val="22"/>
          <w:szCs w:val="22"/>
        </w:rPr>
        <w:t>Esta Súmula foi aprovada na reunião da COAF realizada de forma virtual no dia 2</w:t>
      </w:r>
      <w:r w:rsidR="00F21022">
        <w:rPr>
          <w:rFonts w:ascii="Arial" w:hAnsi="Arial" w:cs="Arial"/>
          <w:sz w:val="22"/>
          <w:szCs w:val="22"/>
        </w:rPr>
        <w:t>6</w:t>
      </w:r>
      <w:r w:rsidRPr="00622862">
        <w:rPr>
          <w:rFonts w:ascii="Arial" w:hAnsi="Arial" w:cs="Arial"/>
          <w:sz w:val="22"/>
          <w:szCs w:val="22"/>
        </w:rPr>
        <w:t>/0</w:t>
      </w:r>
      <w:r w:rsidR="00F21022">
        <w:rPr>
          <w:rFonts w:ascii="Arial" w:hAnsi="Arial" w:cs="Arial"/>
          <w:sz w:val="22"/>
          <w:szCs w:val="22"/>
        </w:rPr>
        <w:t>6</w:t>
      </w:r>
      <w:r w:rsidRPr="00622862">
        <w:rPr>
          <w:rFonts w:ascii="Arial" w:hAnsi="Arial" w:cs="Arial"/>
          <w:sz w:val="22"/>
          <w:szCs w:val="22"/>
        </w:rPr>
        <w:t xml:space="preserve">/2020, com os votos favoráveis dos Conselheiros </w:t>
      </w:r>
      <w:proofErr w:type="spellStart"/>
      <w:r w:rsidRPr="00622862">
        <w:rPr>
          <w:rFonts w:ascii="Arial" w:hAnsi="Arial" w:cs="Arial"/>
          <w:sz w:val="22"/>
          <w:szCs w:val="22"/>
        </w:rPr>
        <w:t>Silvya</w:t>
      </w:r>
      <w:proofErr w:type="spellEnd"/>
      <w:r w:rsidRPr="00622862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Pr="00622862">
        <w:rPr>
          <w:rFonts w:ascii="Arial" w:hAnsi="Arial" w:cs="Arial"/>
          <w:sz w:val="22"/>
          <w:szCs w:val="22"/>
        </w:rPr>
        <w:t>Caprario</w:t>
      </w:r>
      <w:proofErr w:type="spellEnd"/>
      <w:r w:rsidRPr="00622862">
        <w:rPr>
          <w:rFonts w:ascii="Arial" w:hAnsi="Arial" w:cs="Arial"/>
          <w:sz w:val="22"/>
          <w:szCs w:val="22"/>
        </w:rPr>
        <w:t xml:space="preserve">, Rosana Silveira e Maurício </w:t>
      </w:r>
      <w:proofErr w:type="spellStart"/>
      <w:r w:rsidRPr="00622862">
        <w:rPr>
          <w:rFonts w:ascii="Arial" w:hAnsi="Arial" w:cs="Arial"/>
          <w:sz w:val="22"/>
          <w:szCs w:val="22"/>
        </w:rPr>
        <w:t>Andre</w:t>
      </w:r>
      <w:proofErr w:type="spellEnd"/>
      <w:r w:rsidRPr="006228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862">
        <w:rPr>
          <w:rFonts w:ascii="Arial" w:hAnsi="Arial" w:cs="Arial"/>
          <w:sz w:val="22"/>
          <w:szCs w:val="22"/>
        </w:rPr>
        <w:t>Giusti</w:t>
      </w:r>
      <w:proofErr w:type="spellEnd"/>
      <w:r w:rsidRPr="00622862">
        <w:rPr>
          <w:rFonts w:ascii="Arial" w:hAnsi="Arial" w:cs="Arial"/>
          <w:sz w:val="22"/>
          <w:szCs w:val="22"/>
        </w:rPr>
        <w:t xml:space="preserve">. Nos termos do item 2.1 da Deliberação Plenária CAU/SC nº 504, de 19 de junho de 2020, atestamos a veracidade das informações. Publique-se. </w:t>
      </w:r>
    </w:p>
    <w:p w14:paraId="5E6ADDD4" w14:textId="77777777" w:rsidR="00E57968" w:rsidRDefault="00E57968" w:rsidP="00E57968">
      <w:pPr>
        <w:jc w:val="both"/>
        <w:rPr>
          <w:rFonts w:ascii="Arial" w:hAnsi="Arial" w:cs="Arial"/>
          <w:sz w:val="22"/>
          <w:szCs w:val="22"/>
        </w:rPr>
      </w:pPr>
    </w:p>
    <w:p w14:paraId="44CCFC63" w14:textId="6984AF8A" w:rsidR="00E57968" w:rsidRPr="00622862" w:rsidRDefault="00E57968" w:rsidP="00E57968">
      <w:pPr>
        <w:jc w:val="both"/>
        <w:rPr>
          <w:rFonts w:ascii="Arial" w:hAnsi="Arial" w:cs="Arial"/>
          <w:sz w:val="22"/>
          <w:szCs w:val="22"/>
        </w:rPr>
      </w:pPr>
    </w:p>
    <w:p w14:paraId="06FB2ACD" w14:textId="224F28C3" w:rsidR="00E57968" w:rsidRPr="00622862" w:rsidRDefault="00E57968" w:rsidP="00E57968">
      <w:pPr>
        <w:jc w:val="both"/>
        <w:rPr>
          <w:rFonts w:ascii="Arial" w:eastAsiaTheme="minorHAnsi" w:hAnsi="Arial" w:cs="Arial"/>
          <w:sz w:val="22"/>
          <w:szCs w:val="22"/>
        </w:rPr>
      </w:pPr>
    </w:p>
    <w:p w14:paraId="6CA59CDD" w14:textId="77777777" w:rsidR="00E57968" w:rsidRPr="00622862" w:rsidRDefault="00E57968" w:rsidP="00E57968">
      <w:pPr>
        <w:jc w:val="both"/>
        <w:rPr>
          <w:rFonts w:ascii="Arial" w:eastAsiaTheme="minorHAnsi" w:hAnsi="Arial" w:cs="Arial"/>
          <w:sz w:val="22"/>
          <w:szCs w:val="22"/>
        </w:rPr>
      </w:pPr>
    </w:p>
    <w:p w14:paraId="287FB270" w14:textId="77777777" w:rsidR="00E57968" w:rsidRPr="00622862" w:rsidRDefault="00E57968" w:rsidP="00E57968">
      <w:pPr>
        <w:jc w:val="both"/>
        <w:rPr>
          <w:rFonts w:ascii="Arial" w:eastAsiaTheme="minorHAnsi" w:hAnsi="Arial" w:cs="Arial"/>
          <w:sz w:val="22"/>
          <w:szCs w:val="22"/>
        </w:rPr>
        <w:sectPr w:rsidR="00E57968" w:rsidRPr="00622862" w:rsidSect="00E57968">
          <w:headerReference w:type="even" r:id="rId11"/>
          <w:headerReference w:type="default" r:id="rId12"/>
          <w:footerReference w:type="even" r:id="rId13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5ED38BF" w14:textId="77777777" w:rsidR="00E57968" w:rsidRPr="00622862" w:rsidRDefault="00E57968" w:rsidP="00E57968">
      <w:pPr>
        <w:jc w:val="both"/>
        <w:rPr>
          <w:rFonts w:ascii="Arial" w:eastAsiaTheme="minorHAnsi" w:hAnsi="Arial" w:cs="Arial"/>
          <w:sz w:val="22"/>
          <w:szCs w:val="22"/>
        </w:rPr>
      </w:pPr>
      <w:r w:rsidRPr="00622862">
        <w:rPr>
          <w:rFonts w:ascii="Arial" w:eastAsiaTheme="minorHAnsi" w:hAnsi="Arial" w:cs="Arial"/>
          <w:sz w:val="22"/>
          <w:szCs w:val="22"/>
        </w:rPr>
        <w:t>__________________________________</w:t>
      </w:r>
    </w:p>
    <w:p w14:paraId="38A6CADC" w14:textId="77777777" w:rsidR="00E57968" w:rsidRPr="00622862" w:rsidRDefault="00E57968" w:rsidP="00E57968">
      <w:pPr>
        <w:jc w:val="center"/>
        <w:rPr>
          <w:rFonts w:ascii="Arial" w:hAnsi="Arial" w:cs="Arial"/>
          <w:sz w:val="22"/>
          <w:szCs w:val="22"/>
        </w:rPr>
      </w:pPr>
      <w:r w:rsidRPr="00622862">
        <w:rPr>
          <w:rFonts w:ascii="Arial" w:hAnsi="Arial" w:cs="Arial"/>
          <w:sz w:val="22"/>
          <w:szCs w:val="22"/>
        </w:rPr>
        <w:t>Antônio Couto Nunes</w:t>
      </w:r>
    </w:p>
    <w:p w14:paraId="71C11ABB" w14:textId="77777777" w:rsidR="00E57968" w:rsidRPr="00622862" w:rsidRDefault="00E57968" w:rsidP="00E57968">
      <w:pPr>
        <w:jc w:val="center"/>
        <w:rPr>
          <w:rFonts w:ascii="Arial" w:eastAsiaTheme="minorHAnsi" w:hAnsi="Arial" w:cs="Arial"/>
          <w:sz w:val="22"/>
          <w:szCs w:val="22"/>
        </w:rPr>
      </w:pPr>
      <w:r w:rsidRPr="00622862">
        <w:rPr>
          <w:rFonts w:ascii="Arial" w:hAnsi="Arial" w:cs="Arial"/>
          <w:sz w:val="22"/>
          <w:szCs w:val="22"/>
        </w:rPr>
        <w:t>Assessor Especial da Presidência</w:t>
      </w:r>
    </w:p>
    <w:p w14:paraId="182B7CB6" w14:textId="77777777" w:rsidR="00E57968" w:rsidRPr="00622862" w:rsidRDefault="00E57968" w:rsidP="00E57968">
      <w:pPr>
        <w:jc w:val="both"/>
        <w:rPr>
          <w:rFonts w:ascii="Arial" w:eastAsiaTheme="minorHAnsi" w:hAnsi="Arial" w:cs="Arial"/>
          <w:sz w:val="22"/>
          <w:szCs w:val="22"/>
        </w:rPr>
      </w:pPr>
      <w:r w:rsidRPr="00622862">
        <w:rPr>
          <w:rFonts w:ascii="Arial" w:eastAsiaTheme="minorHAnsi" w:hAnsi="Arial" w:cs="Arial"/>
          <w:sz w:val="22"/>
          <w:szCs w:val="22"/>
        </w:rPr>
        <w:t>__________________________________</w:t>
      </w:r>
    </w:p>
    <w:p w14:paraId="575C007F" w14:textId="77777777" w:rsidR="00E57968" w:rsidRPr="00622862" w:rsidRDefault="00E57968" w:rsidP="00E57968">
      <w:pPr>
        <w:jc w:val="center"/>
        <w:rPr>
          <w:rFonts w:ascii="Arial" w:eastAsiaTheme="minorHAnsi" w:hAnsi="Arial" w:cs="Arial"/>
          <w:sz w:val="22"/>
          <w:szCs w:val="22"/>
        </w:rPr>
      </w:pPr>
      <w:proofErr w:type="spellStart"/>
      <w:r w:rsidRPr="00622862">
        <w:rPr>
          <w:rFonts w:ascii="Arial" w:eastAsiaTheme="minorHAnsi" w:hAnsi="Arial" w:cs="Arial"/>
          <w:sz w:val="22"/>
          <w:szCs w:val="22"/>
        </w:rPr>
        <w:t>Yve</w:t>
      </w:r>
      <w:proofErr w:type="spellEnd"/>
      <w:r w:rsidRPr="00622862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622862">
        <w:rPr>
          <w:rFonts w:ascii="Arial" w:eastAsiaTheme="minorHAnsi" w:hAnsi="Arial" w:cs="Arial"/>
          <w:sz w:val="22"/>
          <w:szCs w:val="22"/>
        </w:rPr>
        <w:t>Sarkis</w:t>
      </w:r>
      <w:proofErr w:type="spellEnd"/>
      <w:r w:rsidRPr="00622862">
        <w:rPr>
          <w:rFonts w:ascii="Arial" w:eastAsiaTheme="minorHAnsi" w:hAnsi="Arial" w:cs="Arial"/>
          <w:sz w:val="22"/>
          <w:szCs w:val="22"/>
        </w:rPr>
        <w:t xml:space="preserve"> da Costa</w:t>
      </w:r>
    </w:p>
    <w:p w14:paraId="7F8BF2AE" w14:textId="77777777" w:rsidR="00E57968" w:rsidRPr="00622862" w:rsidRDefault="00E57968" w:rsidP="00E57968">
      <w:pPr>
        <w:jc w:val="center"/>
        <w:rPr>
          <w:rFonts w:ascii="Arial" w:eastAsiaTheme="minorHAnsi" w:hAnsi="Arial" w:cs="Arial"/>
          <w:sz w:val="22"/>
          <w:szCs w:val="22"/>
        </w:rPr>
      </w:pPr>
      <w:r w:rsidRPr="00622862">
        <w:rPr>
          <w:rFonts w:ascii="Arial" w:eastAsiaTheme="minorHAnsi" w:hAnsi="Arial" w:cs="Arial"/>
          <w:sz w:val="22"/>
          <w:szCs w:val="22"/>
        </w:rPr>
        <w:t>Secretária da COAF</w:t>
      </w:r>
    </w:p>
    <w:p w14:paraId="36EA08A7" w14:textId="77777777" w:rsidR="00E57968" w:rsidRPr="00622862" w:rsidRDefault="00E57968" w:rsidP="00E57968">
      <w:pPr>
        <w:rPr>
          <w:rFonts w:ascii="Arial" w:hAnsi="Arial" w:cs="Arial"/>
          <w:sz w:val="22"/>
          <w:szCs w:val="22"/>
        </w:rPr>
        <w:sectPr w:rsidR="00E57968" w:rsidRPr="00622862" w:rsidSect="0009660C">
          <w:type w:val="continuous"/>
          <w:pgSz w:w="11900" w:h="16840" w:code="9"/>
          <w:pgMar w:top="1560" w:right="1134" w:bottom="1701" w:left="1701" w:header="1327" w:footer="584" w:gutter="0"/>
          <w:cols w:num="2" w:space="708"/>
          <w:docGrid w:linePitch="326"/>
        </w:sectPr>
      </w:pPr>
    </w:p>
    <w:p w14:paraId="4B5AC9DB" w14:textId="77777777" w:rsidR="00E57968" w:rsidRPr="00622862" w:rsidRDefault="00E57968" w:rsidP="00E57968">
      <w:pPr>
        <w:rPr>
          <w:rFonts w:ascii="Arial" w:hAnsi="Arial" w:cs="Arial"/>
          <w:sz w:val="22"/>
          <w:szCs w:val="22"/>
        </w:rPr>
      </w:pPr>
    </w:p>
    <w:p w14:paraId="74FEB291" w14:textId="77777777" w:rsidR="00E57968" w:rsidRDefault="00E57968" w:rsidP="00E57968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14:paraId="46751D08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99C88" w14:textId="77777777" w:rsidR="002431BD" w:rsidRDefault="002431BD">
      <w:r>
        <w:separator/>
      </w:r>
    </w:p>
  </w:endnote>
  <w:endnote w:type="continuationSeparator" w:id="0">
    <w:p w14:paraId="42058FF6" w14:textId="77777777" w:rsidR="002431BD" w:rsidRDefault="0024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BC7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992B3B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9CEE" w14:textId="77777777" w:rsidR="00E57968" w:rsidRPr="00F567A6" w:rsidRDefault="00E5796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D5456E" w14:textId="77777777" w:rsidR="00E57968" w:rsidRPr="00BF7864" w:rsidRDefault="00E5796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A446C" w14:textId="77777777" w:rsidR="002431BD" w:rsidRDefault="002431BD">
      <w:r>
        <w:separator/>
      </w:r>
    </w:p>
  </w:footnote>
  <w:footnote w:type="continuationSeparator" w:id="0">
    <w:p w14:paraId="07C8F025" w14:textId="77777777" w:rsidR="002431BD" w:rsidRDefault="0024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A2E5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8872691" wp14:editId="53DF73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E629624" wp14:editId="6726A99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3D010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44B669" wp14:editId="5416A89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60FED" w14:textId="77777777" w:rsidR="00E57968" w:rsidRPr="009E4E5A" w:rsidRDefault="00E5796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3BE6D75E" wp14:editId="21E1182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36946D2" wp14:editId="08CEC34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F973" w14:textId="77777777" w:rsidR="00E57968" w:rsidRPr="009E4E5A" w:rsidRDefault="00E5796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7F263E3A" wp14:editId="792E2330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"/>
  </w:num>
  <w:num w:numId="4">
    <w:abstractNumId w:val="28"/>
  </w:num>
  <w:num w:numId="5">
    <w:abstractNumId w:val="19"/>
  </w:num>
  <w:num w:numId="6">
    <w:abstractNumId w:val="29"/>
  </w:num>
  <w:num w:numId="7">
    <w:abstractNumId w:val="8"/>
  </w:num>
  <w:num w:numId="8">
    <w:abstractNumId w:val="16"/>
  </w:num>
  <w:num w:numId="9">
    <w:abstractNumId w:val="31"/>
  </w:num>
  <w:num w:numId="10">
    <w:abstractNumId w:val="21"/>
  </w:num>
  <w:num w:numId="11">
    <w:abstractNumId w:val="6"/>
  </w:num>
  <w:num w:numId="12">
    <w:abstractNumId w:val="9"/>
  </w:num>
  <w:num w:numId="13">
    <w:abstractNumId w:val="18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2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0"/>
  </w:num>
  <w:num w:numId="27">
    <w:abstractNumId w:val="27"/>
  </w:num>
  <w:num w:numId="28">
    <w:abstractNumId w:val="11"/>
  </w:num>
  <w:num w:numId="29">
    <w:abstractNumId w:val="12"/>
  </w:num>
  <w:num w:numId="30">
    <w:abstractNumId w:val="13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0F96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752C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5A62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1BD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36AB"/>
    <w:rsid w:val="00320313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2F8"/>
    <w:rsid w:val="005908F6"/>
    <w:rsid w:val="005918E1"/>
    <w:rsid w:val="00591E02"/>
    <w:rsid w:val="00594354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6968"/>
    <w:rsid w:val="005E6ABD"/>
    <w:rsid w:val="005E7E07"/>
    <w:rsid w:val="005F3EF6"/>
    <w:rsid w:val="005F4E33"/>
    <w:rsid w:val="005F5333"/>
    <w:rsid w:val="005F5C08"/>
    <w:rsid w:val="006008D8"/>
    <w:rsid w:val="0060162D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865"/>
    <w:rsid w:val="009A0A0F"/>
    <w:rsid w:val="009A1B98"/>
    <w:rsid w:val="009A229E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1746E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262"/>
    <w:rsid w:val="00C54702"/>
    <w:rsid w:val="00C56F2D"/>
    <w:rsid w:val="00C57C42"/>
    <w:rsid w:val="00C611FB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9D7"/>
    <w:rsid w:val="00D67BBE"/>
    <w:rsid w:val="00D708BC"/>
    <w:rsid w:val="00D70C46"/>
    <w:rsid w:val="00D750FC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D73"/>
    <w:rsid w:val="00DF7F84"/>
    <w:rsid w:val="00E0058F"/>
    <w:rsid w:val="00E027A7"/>
    <w:rsid w:val="00E039FC"/>
    <w:rsid w:val="00E04082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7968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22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28AE"/>
    <w:rsid w:val="00F630B6"/>
    <w:rsid w:val="00F63FDE"/>
    <w:rsid w:val="00F66607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E0A5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1AA8-C05A-47DE-B8FC-371BDB92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1137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luizamecabo@gmail.com</cp:lastModifiedBy>
  <cp:revision>69</cp:revision>
  <cp:lastPrinted>2019-07-02T13:16:00Z</cp:lastPrinted>
  <dcterms:created xsi:type="dcterms:W3CDTF">2020-03-20T12:30:00Z</dcterms:created>
  <dcterms:modified xsi:type="dcterms:W3CDTF">2020-07-03T19:24:00Z</dcterms:modified>
</cp:coreProperties>
</file>