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2B5697">
        <w:rPr>
          <w:rFonts w:ascii="Arial" w:hAnsi="Arial" w:cs="Arial"/>
          <w:b/>
          <w:sz w:val="22"/>
          <w:szCs w:val="22"/>
        </w:rPr>
        <w:t>06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2B5697" w:rsidP="0038408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28/06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D22B6" w:rsidP="006D22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</w:t>
            </w:r>
            <w:r w:rsidR="00D625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 as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7:3</w:t>
            </w:r>
            <w:r w:rsid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 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E34D8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1E34D8" w:rsidRPr="00245604" w:rsidRDefault="001E34D8" w:rsidP="001E34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664" w:type="dxa"/>
            <w:vAlign w:val="center"/>
          </w:tcPr>
          <w:p w:rsidR="001E34D8" w:rsidRPr="00245604" w:rsidRDefault="001E34D8" w:rsidP="001E34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Coordenador Adjunto (a)</w:t>
            </w:r>
          </w:p>
        </w:tc>
        <w:tc>
          <w:tcPr>
            <w:tcW w:w="1183" w:type="dxa"/>
          </w:tcPr>
          <w:p w:rsidR="001E34D8" w:rsidRPr="001E34D8" w:rsidRDefault="001E34D8" w:rsidP="001E34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E34D8">
              <w:rPr>
                <w:rFonts w:ascii="Arial" w:hAnsi="Arial" w:cs="Arial"/>
                <w:sz w:val="22"/>
                <w:szCs w:val="22"/>
              </w:rPr>
              <w:t>14h01min</w:t>
            </w:r>
          </w:p>
        </w:tc>
        <w:tc>
          <w:tcPr>
            <w:tcW w:w="1183" w:type="dxa"/>
            <w:tcBorders>
              <w:right w:val="nil"/>
            </w:tcBorders>
          </w:tcPr>
          <w:p w:rsidR="001E34D8" w:rsidRPr="001E34D8" w:rsidRDefault="001E34D8" w:rsidP="001E34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E34D8">
              <w:rPr>
                <w:rFonts w:ascii="Arial" w:hAnsi="Arial" w:cs="Arial"/>
                <w:sz w:val="22"/>
                <w:szCs w:val="22"/>
              </w:rPr>
              <w:t>17h15min</w:t>
            </w:r>
          </w:p>
        </w:tc>
      </w:tr>
      <w:tr w:rsidR="00245604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245604" w:rsidRPr="00245604" w:rsidRDefault="001E34D8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Larissa Moreira </w:t>
            </w:r>
          </w:p>
        </w:tc>
        <w:tc>
          <w:tcPr>
            <w:tcW w:w="2664" w:type="dxa"/>
            <w:vAlign w:val="center"/>
          </w:tcPr>
          <w:p w:rsidR="00245604" w:rsidRPr="00245604" w:rsidRDefault="001E34D8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:rsidR="00245604" w:rsidRPr="001E34D8" w:rsidRDefault="001E34D8" w:rsidP="003C15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E34D8">
              <w:rPr>
                <w:rFonts w:ascii="Arial" w:hAnsi="Arial" w:cs="Arial"/>
                <w:sz w:val="22"/>
                <w:szCs w:val="22"/>
              </w:rPr>
              <w:t>13h40min</w:t>
            </w:r>
          </w:p>
        </w:tc>
        <w:tc>
          <w:tcPr>
            <w:tcW w:w="1183" w:type="dxa"/>
            <w:tcBorders>
              <w:right w:val="nil"/>
            </w:tcBorders>
          </w:tcPr>
          <w:p w:rsidR="00245604" w:rsidRPr="001E34D8" w:rsidRDefault="001E34D8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E34D8">
              <w:rPr>
                <w:rFonts w:ascii="Arial" w:hAnsi="Arial" w:cs="Arial"/>
                <w:sz w:val="22"/>
                <w:szCs w:val="22"/>
              </w:rPr>
              <w:t>17h15</w:t>
            </w:r>
            <w:r w:rsidR="006E7A5E" w:rsidRPr="001E34D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245604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  <w:vAlign w:val="center"/>
          </w:tcPr>
          <w:p w:rsidR="00245604" w:rsidRPr="00820481" w:rsidRDefault="0063266A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Carla Cintia Back </w:t>
            </w:r>
          </w:p>
        </w:tc>
        <w:tc>
          <w:tcPr>
            <w:tcW w:w="2664" w:type="dxa"/>
            <w:vAlign w:val="center"/>
          </w:tcPr>
          <w:p w:rsidR="00245604" w:rsidRPr="00245604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  <w:shd w:val="clear" w:color="auto" w:fill="auto"/>
          </w:tcPr>
          <w:p w:rsidR="00245604" w:rsidRPr="001E34D8" w:rsidRDefault="003C15EF" w:rsidP="0063266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E34D8">
              <w:rPr>
                <w:rFonts w:ascii="Arial" w:hAnsi="Arial" w:cs="Arial"/>
                <w:sz w:val="22"/>
                <w:szCs w:val="22"/>
              </w:rPr>
              <w:t>13</w:t>
            </w:r>
            <w:r w:rsidR="006E7A5E" w:rsidRPr="001E34D8">
              <w:rPr>
                <w:rFonts w:ascii="Arial" w:hAnsi="Arial" w:cs="Arial"/>
                <w:sz w:val="22"/>
                <w:szCs w:val="22"/>
              </w:rPr>
              <w:t>h</w:t>
            </w:r>
            <w:r w:rsidR="0063266A" w:rsidRPr="001E34D8">
              <w:rPr>
                <w:rFonts w:ascii="Arial" w:hAnsi="Arial" w:cs="Arial"/>
                <w:sz w:val="22"/>
                <w:szCs w:val="22"/>
              </w:rPr>
              <w:t>33</w:t>
            </w:r>
            <w:r w:rsidR="006E7A5E" w:rsidRPr="001E34D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245604" w:rsidRPr="001E34D8" w:rsidRDefault="006E7A5E" w:rsidP="0009327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E34D8">
              <w:rPr>
                <w:rFonts w:ascii="Arial" w:hAnsi="Arial" w:cs="Arial"/>
                <w:sz w:val="22"/>
                <w:szCs w:val="22"/>
              </w:rPr>
              <w:t>1</w:t>
            </w:r>
            <w:r w:rsidR="001E34D8" w:rsidRPr="001E34D8">
              <w:rPr>
                <w:rFonts w:ascii="Arial" w:hAnsi="Arial" w:cs="Arial"/>
                <w:sz w:val="22"/>
                <w:szCs w:val="22"/>
              </w:rPr>
              <w:t>7h15</w:t>
            </w:r>
            <w:r w:rsidRPr="001E34D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245604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  <w:vAlign w:val="center"/>
          </w:tcPr>
          <w:p w:rsidR="00245604" w:rsidRPr="00820481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245604" w:rsidRPr="001215A2" w:rsidRDefault="00245604" w:rsidP="0024560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83" w:type="dxa"/>
          </w:tcPr>
          <w:p w:rsidR="00245604" w:rsidRPr="00294A66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245604" w:rsidRPr="00294A66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604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245604" w:rsidRPr="00820481" w:rsidRDefault="00245604" w:rsidP="0024560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2664" w:type="dxa"/>
            <w:vAlign w:val="center"/>
          </w:tcPr>
          <w:p w:rsidR="00245604" w:rsidRPr="001215A2" w:rsidRDefault="00245604" w:rsidP="0024560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83" w:type="dxa"/>
          </w:tcPr>
          <w:p w:rsidR="00245604" w:rsidRPr="00F95F03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245604" w:rsidRPr="00B7254B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604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45604" w:rsidRPr="00E039FC" w:rsidRDefault="00245604" w:rsidP="0024560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45604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45604" w:rsidRPr="00E039FC" w:rsidRDefault="00245604" w:rsidP="0024560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245604" w:rsidRPr="00106865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 w:rsidRPr="00106865"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 w:rsidRPr="00106865">
              <w:rPr>
                <w:rFonts w:ascii="Arial" w:hAnsi="Arial" w:cs="Arial"/>
                <w:sz w:val="22"/>
                <w:szCs w:val="22"/>
              </w:rPr>
              <w:t xml:space="preserve"> – Gerente administrativo e financeiro</w:t>
            </w:r>
          </w:p>
          <w:p w:rsidR="00245604" w:rsidRPr="00E039FC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>Laraue Pommerening – Assi</w:t>
            </w:r>
            <w:r w:rsidR="00A3226B">
              <w:rPr>
                <w:rFonts w:ascii="Arial" w:hAnsi="Arial" w:cs="Arial"/>
                <w:sz w:val="22"/>
                <w:szCs w:val="22"/>
              </w:rPr>
              <w:t>s</w:t>
            </w:r>
            <w:r w:rsidRPr="00106865">
              <w:rPr>
                <w:rFonts w:ascii="Arial" w:hAnsi="Arial" w:cs="Arial"/>
                <w:sz w:val="22"/>
                <w:szCs w:val="22"/>
              </w:rPr>
              <w:t>tente Administrativa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94A66" w:rsidRPr="00E039FC" w:rsidRDefault="00294A66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ED12F9" w:rsidRPr="00E039FC" w:rsidTr="008958B3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12F9" w:rsidRPr="00E039FC" w:rsidRDefault="00ED12F9" w:rsidP="00895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D12F9" w:rsidRPr="00E039FC" w:rsidTr="008958B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12F9" w:rsidRPr="008E07A7" w:rsidRDefault="001E34D8" w:rsidP="00895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  <w:r w:rsidR="00ED12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2F9" w:rsidRPr="00787836" w:rsidRDefault="001E34D8" w:rsidP="008958B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Valesca </w:t>
            </w:r>
            <w:r w:rsidRPr="001E34D8">
              <w:rPr>
                <w:rFonts w:ascii="Arial" w:hAnsi="Arial" w:cs="Arial"/>
                <w:b w:val="0"/>
                <w:sz w:val="22"/>
                <w:szCs w:val="22"/>
              </w:rPr>
              <w:t xml:space="preserve"> Menezes Marques</w:t>
            </w:r>
          </w:p>
        </w:tc>
      </w:tr>
      <w:tr w:rsidR="00ED12F9" w:rsidRPr="00E039FC" w:rsidTr="008958B3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12F9" w:rsidRPr="008E07A7" w:rsidRDefault="00ED12F9" w:rsidP="00895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2F9" w:rsidRPr="008E07A7" w:rsidRDefault="001E34D8" w:rsidP="008958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  <w:tr w:rsidR="001E34D8" w:rsidRPr="00E039FC" w:rsidTr="001E34D8">
        <w:trPr>
          <w:trHeight w:hRule="exact" w:val="26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E34D8" w:rsidRPr="008E07A7" w:rsidRDefault="001E34D8" w:rsidP="00D768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4D8" w:rsidRPr="001E34D8" w:rsidRDefault="001E34D8" w:rsidP="001E34D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E34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</w:tr>
      <w:tr w:rsidR="001E34D8" w:rsidRPr="00E039FC" w:rsidTr="001E34D8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E34D8" w:rsidRPr="008E07A7" w:rsidRDefault="001E34D8" w:rsidP="00D768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4D8" w:rsidRPr="008E07A7" w:rsidRDefault="001E34D8" w:rsidP="00D7681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:rsidR="00ED12F9" w:rsidRDefault="00ED12F9" w:rsidP="00ED12F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D12F9" w:rsidRPr="00E039FC" w:rsidTr="008958B3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D12F9" w:rsidRPr="00E039FC" w:rsidRDefault="00ED12F9" w:rsidP="008958B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ED12F9" w:rsidTr="008958B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D12F9" w:rsidRPr="00E039FC" w:rsidRDefault="00ED12F9" w:rsidP="008958B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D12F9" w:rsidRPr="00E039FC" w:rsidRDefault="00ED12F9" w:rsidP="008958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ED12F9" w:rsidRDefault="00ED12F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243A82" w:rsidRDefault="00845AF6" w:rsidP="003840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2B5697"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5ª reunião ordinária e 4ª reunião extraordinária.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A1D1F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6D22B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485B" w:rsidRDefault="005D5500" w:rsidP="00E919F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</w:t>
            </w:r>
            <w:r w:rsidR="00E919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erente administrativo e financeiro Filipe Lima </w:t>
            </w:r>
            <w:proofErr w:type="spellStart"/>
            <w:r w:rsidR="00E919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E919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fez alguns comunicados: </w:t>
            </w:r>
          </w:p>
          <w:p w:rsidR="00E919FC" w:rsidRDefault="00E919FC" w:rsidP="00E919FC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Projeto de Patrocínio: Após aprovação </w:t>
            </w:r>
            <w:r w:rsidR="00B27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edital pela COAF foi encaminhado para a análise do jurídico que aprovou e será levado</w:t>
            </w:r>
            <w:r w:rsidR="005D5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então,</w:t>
            </w:r>
            <w:r w:rsidR="00B27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verificação do Conselho Diretor. </w:t>
            </w:r>
          </w:p>
          <w:p w:rsidR="00465798" w:rsidRDefault="00B27EF5" w:rsidP="00465798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6º encontro da COA-CAU/BR com as COA-CAU/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4657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convidado para este evento a Presidente </w:t>
            </w:r>
            <w:r w:rsidR="00465798" w:rsidRPr="004657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</w:t>
            </w:r>
            <w:proofErr w:type="spellStart"/>
            <w:r w:rsidR="00465798" w:rsidRPr="004657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="00465798" w:rsidRPr="004657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465798" w:rsidRPr="004657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Herden</w:t>
            </w:r>
            <w:proofErr w:type="spellEnd"/>
            <w:r w:rsidR="004657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 Gerente Geral Jaime </w:t>
            </w:r>
            <w:r w:rsidR="00465798" w:rsidRPr="004657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Chaves</w:t>
            </w:r>
            <w:r w:rsidR="004657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 Assessor da COAF Filipe Lima </w:t>
            </w:r>
            <w:proofErr w:type="spellStart"/>
            <w:r w:rsidR="004657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4657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</w:t>
            </w:r>
            <w:r w:rsidR="005D5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da C</w:t>
            </w:r>
            <w:r w:rsidR="004657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</w:t>
            </w:r>
            <w:r w:rsidR="00465798" w:rsidRPr="001E34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  <w:r w:rsidR="004657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conselheira </w:t>
            </w:r>
            <w:proofErr w:type="spellStart"/>
            <w:r w:rsidR="004657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="004657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 que, nas próximas oportunidades, esse convite seja estendido para os demais membros da COAF. </w:t>
            </w:r>
          </w:p>
          <w:p w:rsidR="00B27EF5" w:rsidRPr="00E919FC" w:rsidRDefault="00465798" w:rsidP="00465798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fim, houve a apresentação do relatório administrativo e financeiro do mês de maio. 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A35D32" w:rsidP="0010686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5D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Contribuições sobre DELIBERAÇÃO Nº 009/2021 – COA-CAU/BR com proposta de alteração da resolução CAU/BR n° 104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A3DE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2A3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ncia administrativa e financeira 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1131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A76CA2"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76CA2"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Pr="005F485B" w:rsidRDefault="00465798" w:rsidP="009450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gerente Filipe apresentou a resolução </w:t>
            </w:r>
            <w:r w:rsidR="00945070">
              <w:rPr>
                <w:rFonts w:ascii="Arial" w:hAnsi="Arial" w:cs="Arial"/>
                <w:sz w:val="22"/>
                <w:szCs w:val="22"/>
              </w:rPr>
              <w:t xml:space="preserve">do CAU/BR </w:t>
            </w:r>
            <w:r>
              <w:rPr>
                <w:rFonts w:ascii="Arial" w:hAnsi="Arial" w:cs="Arial"/>
                <w:sz w:val="22"/>
                <w:szCs w:val="22"/>
              </w:rPr>
              <w:t>nº</w:t>
            </w:r>
            <w:r w:rsidR="00EB4B7F">
              <w:rPr>
                <w:rFonts w:ascii="Arial" w:hAnsi="Arial" w:cs="Arial"/>
                <w:sz w:val="22"/>
                <w:szCs w:val="22"/>
              </w:rPr>
              <w:t xml:space="preserve"> 104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07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a proposta de alteração da COA</w:t>
            </w:r>
            <w:r w:rsidR="00EB4B7F">
              <w:rPr>
                <w:rFonts w:ascii="Arial" w:hAnsi="Arial" w:cs="Arial"/>
                <w:sz w:val="22"/>
                <w:szCs w:val="22"/>
              </w:rPr>
              <w:t xml:space="preserve">-CAU/BR (Deliberação nº 09/2021). Após análise pelos membros da comissão foi aprovada as sugestões de contribuição da COAF-CAU/SC conforme Deliberação nº </w:t>
            </w:r>
            <w:r w:rsidR="00853414">
              <w:rPr>
                <w:rFonts w:ascii="Arial" w:hAnsi="Arial" w:cs="Arial"/>
                <w:sz w:val="22"/>
                <w:szCs w:val="22"/>
              </w:rPr>
              <w:t xml:space="preserve">12/2021. 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35D32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5D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Alterações da Portaria Normativa 06/2017 substituições temporárias de pessoal efetivo em razão de afastamentos;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11317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  <w:tr w:rsidR="002A33AC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386A40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414" w:rsidRPr="00386A40" w:rsidRDefault="00A76CA2" w:rsidP="00D937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534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Lima </w:t>
            </w:r>
            <w:proofErr w:type="spellStart"/>
            <w:r w:rsidR="008534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8534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a </w:t>
            </w:r>
            <w:r w:rsidR="00644E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8534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ortaria </w:t>
            </w:r>
            <w:r w:rsidR="00644E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="008534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ormativa nº 06/2017 </w:t>
            </w:r>
            <w:r w:rsidR="00D937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regulamenta as substituições temporárias de </w:t>
            </w:r>
            <w:r w:rsidR="00D93771" w:rsidRPr="00D937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pessoal e</w:t>
            </w:r>
            <w:r w:rsidR="00D937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fetivo em razão de afastamentos </w:t>
            </w:r>
            <w:r w:rsidR="00D93771" w:rsidRPr="00D937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legais, por i</w:t>
            </w:r>
            <w:r w:rsidR="00D937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nteresse da Administração e por </w:t>
            </w:r>
            <w:r w:rsidR="00D93771" w:rsidRPr="00D937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interesse particular</w:t>
            </w:r>
            <w:r w:rsidR="00D937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Em seguida apresentou </w:t>
            </w:r>
            <w:r w:rsidR="008534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proposta de alteração, </w:t>
            </w:r>
            <w:r w:rsidR="00D937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alterações no</w:t>
            </w:r>
            <w:r w:rsidR="008534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período de afastamento necessário para contratação de pessoal temporário para substituição</w:t>
            </w:r>
            <w:r w:rsidR="00945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pessoal efetivo</w:t>
            </w:r>
            <w:r w:rsidR="008534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alterando de 90 para 60 dias, </w:t>
            </w:r>
            <w:r w:rsidR="005D5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entre outras mudanças, conforme aprovado na </w:t>
            </w:r>
            <w:r w:rsidR="008534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nº 13/2021.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35D32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5D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Administrativos de competência da COAF (protocolos de revisão, cobrança, ressarcimentos);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11317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  <w:tr w:rsidR="002A33AC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705559" w:rsidRDefault="005D5500" w:rsidP="00A76CA2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Não houve processos para análise no período. </w:t>
            </w:r>
          </w:p>
        </w:tc>
      </w:tr>
      <w:tr w:rsidR="002A33AC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Default="002A33AC" w:rsidP="002A33A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A33AC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A35D32" w:rsidP="002A33A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5D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Reprogramação Orçamentária 2021 – revisão dos projetos e alinhamentos internos.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074F58" w:rsidTr="005F48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11317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  <w:tr w:rsidR="002A33AC" w:rsidRPr="00C23625" w:rsidTr="005F48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C23625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7D2E" w:rsidRPr="00386A40" w:rsidRDefault="000D039A" w:rsidP="005D55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informado que a reprogramação depende das diretrizes orçamentárias do CAU/BR a qual ainda n</w:t>
            </w:r>
            <w:r w:rsidR="005D5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foi recebida, 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que já estão sendo feitas análises pelas áreas sobre a reprogramação orçamentária. 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A35D32" w:rsidRDefault="00A35D32" w:rsidP="00074F58">
      <w:pPr>
        <w:pStyle w:val="SemEspaamento"/>
        <w:rPr>
          <w:sz w:val="12"/>
          <w:szCs w:val="22"/>
        </w:rPr>
      </w:pPr>
    </w:p>
    <w:p w:rsidR="005D5500" w:rsidRDefault="005D5500" w:rsidP="00074F58">
      <w:pPr>
        <w:pStyle w:val="SemEspaamento"/>
        <w:rPr>
          <w:sz w:val="12"/>
          <w:szCs w:val="22"/>
        </w:rPr>
      </w:pPr>
    </w:p>
    <w:p w:rsidR="005D5500" w:rsidRDefault="005D5500" w:rsidP="00074F58">
      <w:pPr>
        <w:pStyle w:val="SemEspaamento"/>
        <w:rPr>
          <w:sz w:val="1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35D32" w:rsidRPr="002072EB" w:rsidTr="008958B3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35D32" w:rsidRDefault="00A35D32" w:rsidP="008958B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EXTRAPAUTA</w:t>
            </w:r>
          </w:p>
        </w:tc>
      </w:tr>
    </w:tbl>
    <w:p w:rsidR="00A35D32" w:rsidRDefault="00A35D32" w:rsidP="00074F58">
      <w:pPr>
        <w:pStyle w:val="SemEspaamento"/>
        <w:rPr>
          <w:sz w:val="12"/>
          <w:szCs w:val="22"/>
        </w:rPr>
      </w:pPr>
    </w:p>
    <w:p w:rsidR="00FA6847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06865" w:rsidRPr="00386A40" w:rsidTr="00DE4D1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6865" w:rsidRPr="00074F58" w:rsidRDefault="00A35D32" w:rsidP="00DE4D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865" w:rsidRPr="00074F58" w:rsidRDefault="00C95179" w:rsidP="003363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51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 de criação de Função Gratificada (alteração da Deliberação Plenária nº 161/2017 do CAU/SC)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A33AC" w:rsidRPr="00386A40" w:rsidTr="00DE4D1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106865" w:rsidRPr="00386A40" w:rsidTr="00DE4D1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6865" w:rsidRPr="00074F58" w:rsidRDefault="00106865" w:rsidP="00DE4D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865" w:rsidRPr="00074F58" w:rsidRDefault="00211317" w:rsidP="00DE4D1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  <w:tr w:rsidR="00106865" w:rsidRPr="00386A40" w:rsidTr="00DE4D1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6865" w:rsidRPr="00386A40" w:rsidRDefault="00106865" w:rsidP="00DE4D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865" w:rsidRPr="00386A40" w:rsidRDefault="00B33581" w:rsidP="00B335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Houve a apresentação da Deliberação plenária nº 161 que regulamenta a criação de </w:t>
            </w:r>
            <w:r w:rsidRPr="00B335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funções gratificad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as. Após esclarecimentos, referente a dotação orçamentária, foi aprovado o instrumento administrativo para a criação de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F68B3">
              <w:rPr>
                <w:rFonts w:ascii="Arial" w:hAnsi="Arial" w:cs="Arial"/>
                <w:sz w:val="22"/>
                <w:szCs w:val="22"/>
              </w:rPr>
              <w:t>ma função gratificada vinculada à Assessoria Especial da Presidência</w:t>
            </w:r>
            <w:r>
              <w:rPr>
                <w:rFonts w:ascii="Arial" w:hAnsi="Arial" w:cs="Arial"/>
                <w:sz w:val="22"/>
                <w:szCs w:val="22"/>
              </w:rPr>
              <w:t xml:space="preserve">, conforme Deliberação 14/2021. </w:t>
            </w:r>
          </w:p>
        </w:tc>
      </w:tr>
    </w:tbl>
    <w:p w:rsidR="00106865" w:rsidRPr="00C23625" w:rsidRDefault="00106865" w:rsidP="00074F58">
      <w:pPr>
        <w:pStyle w:val="SemEspaamento"/>
        <w:rPr>
          <w:sz w:val="12"/>
          <w:szCs w:val="22"/>
        </w:rPr>
      </w:pPr>
    </w:p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3102EA">
        <w:rPr>
          <w:rFonts w:ascii="Arial" w:hAnsi="Arial" w:cs="Arial"/>
          <w:bCs/>
          <w:sz w:val="22"/>
          <w:szCs w:val="22"/>
        </w:rPr>
        <w:t>E</w:t>
      </w:r>
      <w:r w:rsidR="00FB1565" w:rsidRPr="003102EA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3102EA">
        <w:rPr>
          <w:rFonts w:ascii="Arial" w:hAnsi="Arial" w:cs="Arial"/>
          <w:bCs/>
          <w:sz w:val="22"/>
          <w:szCs w:val="22"/>
        </w:rPr>
        <w:t xml:space="preserve"> </w:t>
      </w:r>
      <w:r w:rsidR="003102EA" w:rsidRPr="003102EA">
        <w:rPr>
          <w:rFonts w:ascii="Arial" w:hAnsi="Arial" w:cs="Arial"/>
          <w:bCs/>
          <w:sz w:val="22"/>
          <w:szCs w:val="22"/>
        </w:rPr>
        <w:t>6ª</w:t>
      </w:r>
      <w:r w:rsidR="00FB1565" w:rsidRPr="003102EA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3102EA">
        <w:rPr>
          <w:rFonts w:ascii="Arial" w:hAnsi="Arial" w:cs="Arial"/>
          <w:bCs/>
          <w:sz w:val="22"/>
          <w:szCs w:val="22"/>
        </w:rPr>
        <w:t xml:space="preserve"> </w:t>
      </w:r>
      <w:r w:rsidR="003102EA" w:rsidRPr="003102EA">
        <w:rPr>
          <w:rFonts w:ascii="Arial" w:hAnsi="Arial" w:cs="Arial"/>
          <w:bCs/>
          <w:sz w:val="22"/>
          <w:szCs w:val="22"/>
        </w:rPr>
        <w:t>ordinária</w:t>
      </w:r>
      <w:r w:rsidR="00FB1565" w:rsidRPr="003102EA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3102EA">
        <w:rPr>
          <w:rFonts w:ascii="Arial" w:hAnsi="Arial" w:cs="Arial"/>
          <w:bCs/>
          <w:sz w:val="22"/>
          <w:szCs w:val="22"/>
        </w:rPr>
        <w:t>-CAU/SC</w:t>
      </w:r>
      <w:r w:rsidR="00FB1565" w:rsidRPr="003102EA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3102EA">
        <w:rPr>
          <w:rFonts w:ascii="Arial" w:hAnsi="Arial" w:cs="Arial"/>
          <w:bCs/>
          <w:sz w:val="22"/>
          <w:szCs w:val="22"/>
        </w:rPr>
        <w:t xml:space="preserve">de </w:t>
      </w:r>
      <w:r w:rsidR="003102EA" w:rsidRPr="003102EA">
        <w:rPr>
          <w:rFonts w:ascii="Arial" w:hAnsi="Arial" w:cs="Arial"/>
          <w:bCs/>
          <w:sz w:val="22"/>
          <w:szCs w:val="22"/>
        </w:rPr>
        <w:t>02/08</w:t>
      </w:r>
      <w:r w:rsidR="00D2226F" w:rsidRPr="003102EA">
        <w:rPr>
          <w:rFonts w:ascii="Arial" w:hAnsi="Arial" w:cs="Arial"/>
          <w:bCs/>
          <w:sz w:val="22"/>
          <w:szCs w:val="22"/>
        </w:rPr>
        <w:t>/2021</w:t>
      </w:r>
      <w:r w:rsidR="00FB1565" w:rsidRPr="003102EA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3102EA">
        <w:rPr>
          <w:rFonts w:ascii="Arial" w:hAnsi="Arial" w:cs="Arial"/>
          <w:bCs/>
          <w:sz w:val="22"/>
          <w:szCs w:val="22"/>
        </w:rPr>
        <w:t xml:space="preserve"> </w:t>
      </w:r>
      <w:r w:rsidR="003102EA" w:rsidRPr="003102E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Francisco Ricardo Klein</w:t>
      </w:r>
      <w:r w:rsidR="003102EA" w:rsidRPr="003102EA">
        <w:rPr>
          <w:rFonts w:ascii="Arial" w:hAnsi="Arial" w:cs="Arial"/>
          <w:bCs/>
          <w:sz w:val="22"/>
          <w:szCs w:val="22"/>
        </w:rPr>
        <w:t>,</w:t>
      </w:r>
      <w:r w:rsidR="005F10AA" w:rsidRPr="003102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102EA" w:rsidRPr="003102EA">
        <w:rPr>
          <w:rFonts w:ascii="Arial" w:hAnsi="Arial" w:cs="Arial"/>
          <w:sz w:val="22"/>
          <w:szCs w:val="22"/>
        </w:rPr>
        <w:t>Silvya</w:t>
      </w:r>
      <w:proofErr w:type="spellEnd"/>
      <w:r w:rsidR="003102EA" w:rsidRPr="003102EA">
        <w:rPr>
          <w:rFonts w:ascii="Arial" w:hAnsi="Arial" w:cs="Arial"/>
          <w:sz w:val="22"/>
          <w:szCs w:val="22"/>
        </w:rPr>
        <w:t xml:space="preserve"> Helena </w:t>
      </w:r>
      <w:proofErr w:type="spellStart"/>
      <w:r w:rsidR="003102EA" w:rsidRPr="003102EA">
        <w:rPr>
          <w:rFonts w:ascii="Arial" w:hAnsi="Arial" w:cs="Arial"/>
          <w:sz w:val="22"/>
          <w:szCs w:val="22"/>
        </w:rPr>
        <w:t>Caprario</w:t>
      </w:r>
      <w:proofErr w:type="spellEnd"/>
      <w:r w:rsidR="005F10AA" w:rsidRPr="003102EA">
        <w:rPr>
          <w:rFonts w:ascii="Arial" w:hAnsi="Arial" w:cs="Arial"/>
          <w:bCs/>
          <w:sz w:val="22"/>
          <w:szCs w:val="22"/>
        </w:rPr>
        <w:t xml:space="preserve"> e </w:t>
      </w:r>
      <w:r w:rsidR="003102EA" w:rsidRPr="003102EA">
        <w:rPr>
          <w:rFonts w:ascii="Arial" w:hAnsi="Arial" w:cs="Arial"/>
          <w:sz w:val="22"/>
          <w:szCs w:val="22"/>
        </w:rPr>
        <w:t>Carla Cintia Back</w:t>
      </w:r>
      <w:r w:rsidR="00D2226F" w:rsidRPr="003102EA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45604" w:rsidRPr="006B08FB" w:rsidRDefault="0024560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</w:t>
      </w:r>
    </w:p>
    <w:p w:rsidR="006B08FB" w:rsidRPr="00245604" w:rsidRDefault="00106865" w:rsidP="0024560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Laraue Pommerening</w:t>
      </w:r>
    </w:p>
    <w:p w:rsidR="00245604" w:rsidRPr="00245604" w:rsidRDefault="00245604" w:rsidP="0024560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 xml:space="preserve">Assistente Administrativa </w:t>
      </w:r>
    </w:p>
    <w:p w:rsidR="00C3776A" w:rsidRP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3102EA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________________________________________</w:t>
      </w: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</w:t>
      </w:r>
      <w:r w:rsidR="0098303A">
        <w:rPr>
          <w:rFonts w:ascii="Arial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 xml:space="preserve">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  <w:bookmarkStart w:id="0" w:name="_GoBack"/>
      <w:bookmarkEnd w:id="0"/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22" w:rsidRDefault="00182722">
      <w:r>
        <w:separator/>
      </w:r>
    </w:p>
  </w:endnote>
  <w:endnote w:type="continuationSeparator" w:id="0">
    <w:p w:rsidR="00182722" w:rsidRDefault="0018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102EA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E919FC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22" w:rsidRDefault="00182722">
      <w:r>
        <w:separator/>
      </w:r>
    </w:p>
  </w:footnote>
  <w:footnote w:type="continuationSeparator" w:id="0">
    <w:p w:rsidR="00182722" w:rsidRDefault="0018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4"/>
  </w:num>
  <w:num w:numId="5">
    <w:abstractNumId w:val="22"/>
  </w:num>
  <w:num w:numId="6">
    <w:abstractNumId w:val="35"/>
  </w:num>
  <w:num w:numId="7">
    <w:abstractNumId w:val="9"/>
  </w:num>
  <w:num w:numId="8">
    <w:abstractNumId w:val="17"/>
  </w:num>
  <w:num w:numId="9">
    <w:abstractNumId w:val="39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1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5"/>
  </w:num>
  <w:num w:numId="37">
    <w:abstractNumId w:val="29"/>
  </w:num>
  <w:num w:numId="38">
    <w:abstractNumId w:val="33"/>
  </w:num>
  <w:num w:numId="39">
    <w:abstractNumId w:val="1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278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039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86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56F29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3DEA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D7E4A"/>
    <w:rsid w:val="001E08F2"/>
    <w:rsid w:val="001E0BDD"/>
    <w:rsid w:val="001E34D8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91E"/>
    <w:rsid w:val="001F6AFA"/>
    <w:rsid w:val="00200536"/>
    <w:rsid w:val="0020123D"/>
    <w:rsid w:val="00201637"/>
    <w:rsid w:val="00202851"/>
    <w:rsid w:val="00206F62"/>
    <w:rsid w:val="00207285"/>
    <w:rsid w:val="002072EB"/>
    <w:rsid w:val="002111A1"/>
    <w:rsid w:val="00211317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A82"/>
    <w:rsid w:val="00243B6F"/>
    <w:rsid w:val="00244496"/>
    <w:rsid w:val="00244C10"/>
    <w:rsid w:val="0024558E"/>
    <w:rsid w:val="00245604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A66"/>
    <w:rsid w:val="002954B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3AC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697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C7FA5"/>
    <w:rsid w:val="002D1C49"/>
    <w:rsid w:val="002D3AC4"/>
    <w:rsid w:val="002D3FA4"/>
    <w:rsid w:val="002E2643"/>
    <w:rsid w:val="002E2CF0"/>
    <w:rsid w:val="002E2F43"/>
    <w:rsid w:val="002E35E9"/>
    <w:rsid w:val="002E4CAE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02EA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32A"/>
    <w:rsid w:val="00337003"/>
    <w:rsid w:val="0033723E"/>
    <w:rsid w:val="00337F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4080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5EF"/>
    <w:rsid w:val="003C1FEC"/>
    <w:rsid w:val="003C29F6"/>
    <w:rsid w:val="003C56BA"/>
    <w:rsid w:val="003C73AD"/>
    <w:rsid w:val="003D30A6"/>
    <w:rsid w:val="003D4B38"/>
    <w:rsid w:val="003E12F9"/>
    <w:rsid w:val="003E2628"/>
    <w:rsid w:val="003E2C84"/>
    <w:rsid w:val="003E3696"/>
    <w:rsid w:val="003E41AB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ACC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798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8D1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500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85B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266A"/>
    <w:rsid w:val="0063470C"/>
    <w:rsid w:val="00635F1E"/>
    <w:rsid w:val="00636AE3"/>
    <w:rsid w:val="00637CAA"/>
    <w:rsid w:val="00640A23"/>
    <w:rsid w:val="00642C7B"/>
    <w:rsid w:val="00643DDE"/>
    <w:rsid w:val="00643F80"/>
    <w:rsid w:val="00644E41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6688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22B6"/>
    <w:rsid w:val="006D6C7D"/>
    <w:rsid w:val="006E0B24"/>
    <w:rsid w:val="006E22B1"/>
    <w:rsid w:val="006E232A"/>
    <w:rsid w:val="006E4BD1"/>
    <w:rsid w:val="006E4BFB"/>
    <w:rsid w:val="006E6DBF"/>
    <w:rsid w:val="006E7189"/>
    <w:rsid w:val="006E7416"/>
    <w:rsid w:val="006E7616"/>
    <w:rsid w:val="006E7A5E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61E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5141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54D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414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360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A93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990"/>
    <w:rsid w:val="00930F7F"/>
    <w:rsid w:val="00930FB9"/>
    <w:rsid w:val="0093218E"/>
    <w:rsid w:val="00934713"/>
    <w:rsid w:val="009357BC"/>
    <w:rsid w:val="00937A7F"/>
    <w:rsid w:val="00943121"/>
    <w:rsid w:val="00944B34"/>
    <w:rsid w:val="00945070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03A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226B"/>
    <w:rsid w:val="00A34C0B"/>
    <w:rsid w:val="00A35065"/>
    <w:rsid w:val="00A35D32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48B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10A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CA2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27EF5"/>
    <w:rsid w:val="00B33581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513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C60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179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D2E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522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771"/>
    <w:rsid w:val="00D93DD0"/>
    <w:rsid w:val="00D95C52"/>
    <w:rsid w:val="00D95E59"/>
    <w:rsid w:val="00D97EDA"/>
    <w:rsid w:val="00DA1D1F"/>
    <w:rsid w:val="00DA3042"/>
    <w:rsid w:val="00DA33DE"/>
    <w:rsid w:val="00DA386D"/>
    <w:rsid w:val="00DA482B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8D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2F34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9FC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B7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2F9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6A7"/>
    <w:rsid w:val="00F04D0C"/>
    <w:rsid w:val="00F059C3"/>
    <w:rsid w:val="00F0657F"/>
    <w:rsid w:val="00F0787B"/>
    <w:rsid w:val="00F07E7A"/>
    <w:rsid w:val="00F147C6"/>
    <w:rsid w:val="00F15F47"/>
    <w:rsid w:val="00F16F14"/>
    <w:rsid w:val="00F17BEF"/>
    <w:rsid w:val="00F203D0"/>
    <w:rsid w:val="00F2048A"/>
    <w:rsid w:val="00F21081"/>
    <w:rsid w:val="00F21168"/>
    <w:rsid w:val="00F21BB0"/>
    <w:rsid w:val="00F24526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487D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3BE3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3CF68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98C6-B4C0-45E2-A988-1BCDC6C5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40</cp:revision>
  <cp:lastPrinted>2021-03-01T18:36:00Z</cp:lastPrinted>
  <dcterms:created xsi:type="dcterms:W3CDTF">2021-06-22T12:19:00Z</dcterms:created>
  <dcterms:modified xsi:type="dcterms:W3CDTF">2021-08-10T11:33:00Z</dcterms:modified>
</cp:coreProperties>
</file>