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</w:t>
      </w:r>
      <w:r w:rsidRPr="00F61E6F">
        <w:rPr>
          <w:rFonts w:ascii="Arial" w:hAnsi="Arial" w:cs="Arial"/>
          <w:b/>
          <w:sz w:val="22"/>
          <w:szCs w:val="22"/>
        </w:rPr>
        <w:t xml:space="preserve">DA </w:t>
      </w:r>
      <w:r w:rsidR="00BE26F8">
        <w:rPr>
          <w:rFonts w:ascii="Arial" w:hAnsi="Arial" w:cs="Arial"/>
          <w:b/>
          <w:sz w:val="22"/>
          <w:szCs w:val="22"/>
        </w:rPr>
        <w:t>5</w:t>
      </w:r>
      <w:r w:rsidR="008D6886" w:rsidRPr="00F61E6F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8D6886" w:rsidRPr="00052C4C">
        <w:rPr>
          <w:rFonts w:ascii="Arial" w:hAnsi="Arial" w:cs="Arial"/>
          <w:b/>
          <w:sz w:val="22"/>
          <w:szCs w:val="22"/>
        </w:rPr>
        <w:t xml:space="preserve">ORDINÁRIA </w:t>
      </w:r>
      <w:r w:rsidR="00AF3875">
        <w:rPr>
          <w:rFonts w:ascii="Arial" w:hAnsi="Arial" w:cs="Arial"/>
          <w:b/>
          <w:sz w:val="22"/>
          <w:szCs w:val="22"/>
        </w:rPr>
        <w:t>C</w:t>
      </w:r>
      <w:r w:rsidR="008D6886">
        <w:rPr>
          <w:rFonts w:ascii="Arial" w:hAnsi="Arial" w:cs="Arial"/>
          <w:b/>
          <w:sz w:val="22"/>
          <w:szCs w:val="22"/>
        </w:rPr>
        <w:t>TP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107"/>
        <w:gridCol w:w="1275"/>
        <w:gridCol w:w="2691"/>
      </w:tblGrid>
      <w:tr w:rsidR="0097276A" w:rsidRPr="0097276A" w:rsidTr="000D2D18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BE26F8" w:rsidP="00FE70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28/02</w:t>
            </w:r>
            <w:r w:rsidR="00D877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504C6A" w:rsidP="00504C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BE57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- 1</w:t>
            </w:r>
            <w:r w:rsidR="00BE26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BE57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</w:t>
            </w:r>
          </w:p>
        </w:tc>
      </w:tr>
      <w:tr w:rsidR="0097276A" w:rsidRPr="0097276A" w:rsidTr="000D2D18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8D6886" w:rsidP="008D688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tblInd w:w="5" w:type="dxa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1698"/>
        <w:gridCol w:w="7367"/>
      </w:tblGrid>
      <w:tr w:rsidR="000267E6" w:rsidTr="000D2D18">
        <w:tc>
          <w:tcPr>
            <w:tcW w:w="1696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E11401" w:rsidRDefault="000267E6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359" w:type="dxa"/>
            <w:tcBorders>
              <w:left w:val="nil"/>
              <w:right w:val="nil"/>
            </w:tcBorders>
          </w:tcPr>
          <w:p w:rsidR="000267E6" w:rsidRDefault="008D6886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Alexandre Junckes Jacques – Assessor</w:t>
            </w:r>
          </w:p>
        </w:tc>
      </w:tr>
      <w:tr w:rsidR="000267E6" w:rsidTr="000D2D18">
        <w:tc>
          <w:tcPr>
            <w:tcW w:w="1696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Default="000267E6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9" w:type="dxa"/>
            <w:tcBorders>
              <w:left w:val="nil"/>
              <w:right w:val="nil"/>
            </w:tcBorders>
          </w:tcPr>
          <w:p w:rsidR="000267E6" w:rsidRDefault="008D6886" w:rsidP="008D688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Laraue Pommerening – Secretária</w:t>
            </w: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tblInd w:w="5" w:type="dxa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9065"/>
      </w:tblGrid>
      <w:tr w:rsidR="000267E6" w:rsidTr="000D2D18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0267E6" w:rsidRDefault="000267E6" w:rsidP="000267E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7E6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tblInd w:w="5" w:type="dxa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3540"/>
        <w:gridCol w:w="2837"/>
        <w:gridCol w:w="1344"/>
        <w:gridCol w:w="1344"/>
      </w:tblGrid>
      <w:tr w:rsidR="000267E6" w:rsidTr="000D2D18">
        <w:tc>
          <w:tcPr>
            <w:tcW w:w="637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67E6" w:rsidRPr="00553E1B" w:rsidRDefault="000267E6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343" w:type="dxa"/>
            <w:shd w:val="clear" w:color="auto" w:fill="F2F2F2" w:themeFill="background1" w:themeFillShade="F2"/>
            <w:vAlign w:val="center"/>
          </w:tcPr>
          <w:p w:rsidR="000267E6" w:rsidRPr="00553E1B" w:rsidRDefault="000267E6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34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553E1B" w:rsidRDefault="000267E6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7E2556" w:rsidTr="000D2D18">
        <w:trPr>
          <w:trHeight w:val="301"/>
        </w:trPr>
        <w:tc>
          <w:tcPr>
            <w:tcW w:w="3539" w:type="dxa"/>
            <w:tcBorders>
              <w:left w:val="nil"/>
            </w:tcBorders>
            <w:vAlign w:val="center"/>
          </w:tcPr>
          <w:p w:rsidR="007E2556" w:rsidRDefault="007E2556" w:rsidP="007E255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835" w:type="dxa"/>
            <w:vAlign w:val="center"/>
          </w:tcPr>
          <w:p w:rsidR="007E2556" w:rsidRPr="0097276A" w:rsidRDefault="007E2556" w:rsidP="007E255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976C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343" w:type="dxa"/>
            <w:vAlign w:val="center"/>
          </w:tcPr>
          <w:p w:rsidR="007E2556" w:rsidRDefault="006F7D41" w:rsidP="004B3A5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09h00min</w:t>
            </w:r>
          </w:p>
        </w:tc>
        <w:tc>
          <w:tcPr>
            <w:tcW w:w="1343" w:type="dxa"/>
            <w:tcBorders>
              <w:right w:val="nil"/>
            </w:tcBorders>
            <w:vAlign w:val="center"/>
          </w:tcPr>
          <w:p w:rsidR="007E2556" w:rsidRDefault="00F32FAE" w:rsidP="004B3A5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12h12min</w:t>
            </w:r>
          </w:p>
        </w:tc>
      </w:tr>
      <w:tr w:rsidR="007E2556" w:rsidTr="000D2D18">
        <w:trPr>
          <w:trHeight w:val="301"/>
        </w:trPr>
        <w:tc>
          <w:tcPr>
            <w:tcW w:w="3539" w:type="dxa"/>
            <w:tcBorders>
              <w:left w:val="nil"/>
            </w:tcBorders>
            <w:vAlign w:val="center"/>
          </w:tcPr>
          <w:p w:rsidR="007E2556" w:rsidRDefault="007E2556" w:rsidP="007E255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77331E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2835" w:type="dxa"/>
            <w:vAlign w:val="center"/>
          </w:tcPr>
          <w:p w:rsidR="007E2556" w:rsidRPr="0097276A" w:rsidRDefault="007E2556" w:rsidP="007E255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976C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343" w:type="dxa"/>
            <w:vAlign w:val="center"/>
          </w:tcPr>
          <w:p w:rsidR="007E2556" w:rsidRDefault="006F7D41" w:rsidP="004B3A5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09h30min</w:t>
            </w:r>
          </w:p>
        </w:tc>
        <w:tc>
          <w:tcPr>
            <w:tcW w:w="1343" w:type="dxa"/>
            <w:tcBorders>
              <w:right w:val="nil"/>
            </w:tcBorders>
            <w:vAlign w:val="center"/>
          </w:tcPr>
          <w:p w:rsidR="007E2556" w:rsidRDefault="00F32FAE" w:rsidP="004B3A5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12h12min</w:t>
            </w:r>
          </w:p>
        </w:tc>
      </w:tr>
      <w:tr w:rsidR="007E2556" w:rsidTr="000D2D18">
        <w:trPr>
          <w:trHeight w:val="301"/>
        </w:trPr>
        <w:tc>
          <w:tcPr>
            <w:tcW w:w="3539" w:type="dxa"/>
            <w:tcBorders>
              <w:left w:val="nil"/>
            </w:tcBorders>
            <w:vAlign w:val="center"/>
          </w:tcPr>
          <w:p w:rsidR="007E2556" w:rsidRDefault="007E2556" w:rsidP="007E255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E2556" w:rsidRPr="0097276A" w:rsidRDefault="007E2556" w:rsidP="007E255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43" w:type="dxa"/>
            <w:vAlign w:val="center"/>
          </w:tcPr>
          <w:p w:rsidR="007E2556" w:rsidRDefault="007E2556" w:rsidP="004B3A5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tcBorders>
              <w:right w:val="nil"/>
            </w:tcBorders>
            <w:vAlign w:val="center"/>
          </w:tcPr>
          <w:p w:rsidR="007E2556" w:rsidRDefault="007E2556" w:rsidP="004B3A5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tblInd w:w="5" w:type="dxa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2122"/>
        <w:gridCol w:w="6943"/>
      </w:tblGrid>
      <w:tr w:rsidR="001722B2" w:rsidTr="000D2D18"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722B2" w:rsidRDefault="001722B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B2" w:rsidRDefault="002A1BB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Alcenira Vanderlinde</w:t>
            </w:r>
          </w:p>
        </w:tc>
      </w:tr>
    </w:tbl>
    <w:p w:rsidR="001722B2" w:rsidRDefault="001722B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2127"/>
        <w:gridCol w:w="6938"/>
      </w:tblGrid>
      <w:tr w:rsidR="000267E6" w:rsidRPr="00F84D3D" w:rsidTr="000D2D18">
        <w:tc>
          <w:tcPr>
            <w:tcW w:w="9065" w:type="dxa"/>
            <w:gridSpan w:val="2"/>
            <w:shd w:val="clear" w:color="000000" w:fill="F2F2F2"/>
            <w:vAlign w:val="center"/>
            <w:hideMark/>
          </w:tcPr>
          <w:p w:rsidR="000267E6" w:rsidRPr="00F84D3D" w:rsidRDefault="000267E6" w:rsidP="006759CF">
            <w:pPr>
              <w:suppressLineNumbers/>
              <w:autoSpaceDE w:val="0"/>
              <w:autoSpaceDN w:val="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1405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267E6" w:rsidRPr="00F84D3D" w:rsidTr="000D2D18">
        <w:tc>
          <w:tcPr>
            <w:tcW w:w="2127" w:type="dxa"/>
            <w:shd w:val="clear" w:color="000000" w:fill="F2F2F2"/>
            <w:vAlign w:val="center"/>
            <w:hideMark/>
          </w:tcPr>
          <w:p w:rsidR="000267E6" w:rsidRPr="00F84D3D" w:rsidRDefault="000267E6" w:rsidP="006759CF">
            <w:pPr>
              <w:suppressLineNumbers/>
              <w:autoSpaceDE w:val="0"/>
              <w:autoSpaceDN w:val="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0267E6" w:rsidRPr="00F84D3D" w:rsidRDefault="001405B0" w:rsidP="006759CF">
            <w:pPr>
              <w:suppressLineNumbers/>
              <w:autoSpaceDE w:val="0"/>
              <w:autoSpaceDN w:val="0"/>
              <w:contextualSpacing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Ronaldo de Lima</w:t>
            </w:r>
          </w:p>
        </w:tc>
      </w:tr>
      <w:tr w:rsidR="000267E6" w:rsidRPr="00F84D3D" w:rsidTr="000D2D18">
        <w:tc>
          <w:tcPr>
            <w:tcW w:w="2127" w:type="dxa"/>
            <w:shd w:val="clear" w:color="000000" w:fill="F2F2F2"/>
            <w:vAlign w:val="center"/>
            <w:hideMark/>
          </w:tcPr>
          <w:p w:rsidR="000267E6" w:rsidRPr="00F84D3D" w:rsidRDefault="000267E6" w:rsidP="006759CF">
            <w:pPr>
              <w:suppressLineNumbers/>
              <w:autoSpaceDE w:val="0"/>
              <w:autoSpaceDN w:val="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0267E6" w:rsidRPr="00F84D3D" w:rsidRDefault="001405B0" w:rsidP="006759CF">
            <w:pPr>
              <w:suppressLineNumbers/>
              <w:autoSpaceDE w:val="0"/>
              <w:autoSpaceDN w:val="0"/>
              <w:contextualSpacing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Justificou que não poderá</w:t>
            </w:r>
            <w:r w:rsidRPr="00523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estar presente na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Pr="00523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da </w:t>
            </w:r>
            <w:r w:rsidR="006759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CTP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por compromissos pessoais.</w:t>
            </w: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tblInd w:w="5" w:type="dxa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2122"/>
        <w:gridCol w:w="6943"/>
      </w:tblGrid>
      <w:tr w:rsidR="000267E6" w:rsidTr="000D2D18">
        <w:trPr>
          <w:trHeight w:val="301"/>
        </w:trPr>
        <w:tc>
          <w:tcPr>
            <w:tcW w:w="9065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553E1B" w:rsidRDefault="000267E6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0267E6" w:rsidTr="000D2D18">
        <w:trPr>
          <w:trHeight w:val="301"/>
        </w:trPr>
        <w:tc>
          <w:tcPr>
            <w:tcW w:w="212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F84D3D" w:rsidRDefault="000267E6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6943" w:type="dxa"/>
            <w:tcBorders>
              <w:left w:val="nil"/>
              <w:right w:val="nil"/>
            </w:tcBorders>
          </w:tcPr>
          <w:p w:rsidR="000267E6" w:rsidRDefault="008D6886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jc w:val="center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9065"/>
      </w:tblGrid>
      <w:tr w:rsidR="0097276A" w:rsidTr="000D2D1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8D68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aprovação da Súmula da</w:t>
            </w:r>
            <w:r w:rsidR="00BE26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4</w:t>
            </w:r>
            <w:r w:rsidR="00096F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ª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Reunião </w:t>
            </w:r>
            <w:r w:rsidR="00096F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Ordinária CTP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38"/>
      </w:tblGrid>
      <w:tr w:rsidR="0097276A" w:rsidRPr="0097276A" w:rsidTr="000D2D18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096FD5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5000" w:type="pct"/>
        <w:tblInd w:w="5" w:type="dxa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9065"/>
      </w:tblGrid>
      <w:tr w:rsidR="00074F58" w:rsidTr="000D2D18">
        <w:tc>
          <w:tcPr>
            <w:tcW w:w="926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8D6886" w:rsidP="006759C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  <w:tr w:rsidR="007E2556" w:rsidRPr="007E2556" w:rsidTr="000D2D18">
        <w:tc>
          <w:tcPr>
            <w:tcW w:w="92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E2556" w:rsidRPr="007E2556" w:rsidRDefault="006B55A9" w:rsidP="0078483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O Conselheiro </w:t>
            </w:r>
            <w:r w:rsidR="006F7D41">
              <w:rPr>
                <w:rFonts w:ascii="Arial" w:hAnsi="Arial" w:cs="Arial"/>
                <w:sz w:val="22"/>
                <w:szCs w:val="22"/>
              </w:rPr>
              <w:t xml:space="preserve">Ronaldo comunicou que não conseguirá </w:t>
            </w:r>
            <w:r>
              <w:rPr>
                <w:rFonts w:ascii="Arial" w:hAnsi="Arial" w:cs="Arial"/>
                <w:sz w:val="22"/>
                <w:szCs w:val="22"/>
              </w:rPr>
              <w:t xml:space="preserve">participar da reunião, mas que deve participar remotamente. </w:t>
            </w:r>
            <w:r w:rsidR="009B2897">
              <w:rPr>
                <w:rFonts w:ascii="Arial" w:hAnsi="Arial" w:cs="Arial"/>
                <w:sz w:val="22"/>
                <w:szCs w:val="22"/>
              </w:rPr>
              <w:t xml:space="preserve">A Gerente Geral Alcenira Vanderlinde comunica </w:t>
            </w:r>
            <w:r w:rsidR="0078483A">
              <w:rPr>
                <w:rFonts w:ascii="Arial" w:hAnsi="Arial" w:cs="Arial"/>
                <w:sz w:val="22"/>
                <w:szCs w:val="22"/>
              </w:rPr>
              <w:t>dentro das possibilidades de agenda dos trabalhos do CAU/SC, dará suporte aos trabalhos da Comissão.</w:t>
            </w:r>
            <w:bookmarkStart w:id="0" w:name="_GoBack"/>
            <w:bookmarkEnd w:id="0"/>
            <w:r w:rsidR="001405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824E22" w:rsidRDefault="00824E22" w:rsidP="0014165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5000" w:type="pct"/>
        <w:tblInd w:w="5" w:type="dxa"/>
        <w:tblCellMar>
          <w:top w:w="28" w:type="dxa"/>
          <w:left w:w="68" w:type="dxa"/>
          <w:bottom w:w="28" w:type="dxa"/>
          <w:right w:w="68" w:type="dxa"/>
        </w:tblCellMar>
        <w:tblLook w:val="04A0" w:firstRow="1" w:lastRow="0" w:firstColumn="1" w:lastColumn="0" w:noHBand="0" w:noVBand="1"/>
      </w:tblPr>
      <w:tblGrid>
        <w:gridCol w:w="9065"/>
      </w:tblGrid>
      <w:tr w:rsidR="00074F58" w:rsidTr="000D2D1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6759C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38"/>
      </w:tblGrid>
      <w:tr w:rsidR="00074F58" w:rsidRPr="00074F58" w:rsidTr="000D2D18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DA4AA5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BE26F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26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Acompanhamento sobre o retorno dos ofícios referentes a dispo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nibilidade dos imóveis públicos.</w:t>
            </w:r>
          </w:p>
        </w:tc>
      </w:tr>
      <w:tr w:rsidR="00D877CF" w:rsidRPr="00074F58" w:rsidTr="000D2D18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877CF" w:rsidRPr="00074F58" w:rsidRDefault="00D877CF" w:rsidP="00D877C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77CF" w:rsidRPr="00074F58" w:rsidRDefault="00D877CF" w:rsidP="00D877CF">
            <w:pPr>
              <w:keepNext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reunião</w:t>
            </w:r>
          </w:p>
        </w:tc>
      </w:tr>
      <w:tr w:rsidR="00D877CF" w:rsidRPr="00074F58" w:rsidTr="000D2D18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877CF" w:rsidRPr="00074F58" w:rsidRDefault="00D877CF" w:rsidP="00D877C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7CF" w:rsidRPr="00074F58" w:rsidRDefault="00D877CF" w:rsidP="00D877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Assessor Alexandre Junckes Jacques </w:t>
            </w:r>
          </w:p>
        </w:tc>
      </w:tr>
      <w:tr w:rsidR="00D877CF" w:rsidRPr="00074F58" w:rsidTr="000D2D18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877CF" w:rsidRPr="00074F58" w:rsidRDefault="00D877CF" w:rsidP="00D877C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7CF" w:rsidRPr="00D877CF" w:rsidRDefault="006659AD" w:rsidP="004B3A5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Gerente Geral Alcenira Vanderlinde comunica 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pré-agendamento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reunião com a FIESC para o </w:t>
            </w:r>
            <w:r w:rsidR="001405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dia 07/03. S</w:t>
            </w:r>
            <w:r w:rsidR="004A65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obre a reunião com a ALESC</w:t>
            </w:r>
            <w:r w:rsidR="006759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informou que ainda</w:t>
            </w:r>
            <w:r w:rsidR="004A65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não possui data definida, mas </w:t>
            </w:r>
            <w:r w:rsidR="006759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há </w:t>
            </w:r>
            <w:r w:rsidR="004A65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previsão de ser ma</w:t>
            </w:r>
            <w:r w:rsidR="009014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="004A65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cada nos próximos dias. Com relação ao SPU já foi feito con</w:t>
            </w:r>
            <w:r w:rsidR="001405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tato, estando</w:t>
            </w:r>
            <w:r w:rsidR="008462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710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aguardando retorno</w:t>
            </w:r>
            <w:r w:rsidR="006759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H</w:t>
            </w:r>
            <w:r w:rsidR="00EF6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ouve também conversa com o IAB e da mesma maneira se está aguardando retorno.</w:t>
            </w:r>
            <w:r w:rsidR="008462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38"/>
      </w:tblGrid>
      <w:tr w:rsidR="00074F58" w:rsidRPr="00074F58" w:rsidTr="000D2D18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DA4AA5" w:rsidP="002440D3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BE26F8" w:rsidP="002440D3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26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das respostas dos outros CAU/</w:t>
            </w:r>
            <w:proofErr w:type="spellStart"/>
            <w:r w:rsidRPr="00BE26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UFs</w:t>
            </w:r>
            <w:proofErr w:type="spellEnd"/>
            <w:r w:rsidRPr="00BE26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na pesquisa sobre os imóveis para suas sedes próprias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074F58" w:rsidRPr="00074F58" w:rsidTr="000D2D18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440D3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E2556" w:rsidP="002440D3">
            <w:pPr>
              <w:keepNext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reunião</w:t>
            </w:r>
          </w:p>
        </w:tc>
      </w:tr>
      <w:tr w:rsidR="00074F58" w:rsidRPr="00074F58" w:rsidTr="000D2D18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440D3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42999" w:rsidP="002440D3">
            <w:pPr>
              <w:keepNext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Assessor Alexandre Junckes Jacques</w:t>
            </w:r>
          </w:p>
        </w:tc>
      </w:tr>
      <w:tr w:rsidR="00074F58" w:rsidRPr="00074F58" w:rsidTr="000D2D18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C6A" w:rsidRPr="00074F58" w:rsidRDefault="001346CA" w:rsidP="00D710D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 novas respostas de outros CAU/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1405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entretanto está </w:t>
            </w:r>
            <w:r w:rsidR="00D710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sendo elaborado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 oficio solicitando para 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faltantes que respondam a pesquisa. </w:t>
            </w:r>
            <w:r w:rsidR="005F18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EA5B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Geral </w:t>
            </w:r>
            <w:r w:rsidR="005F18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Alcenira Vanderlinde expõe que os </w:t>
            </w:r>
            <w:proofErr w:type="spellStart"/>
            <w:r w:rsidR="005F18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CAUs</w:t>
            </w:r>
            <w:proofErr w:type="spellEnd"/>
            <w:r w:rsidR="005F18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adquiriram sede própria já responderam à </w:t>
            </w:r>
            <w:r w:rsidR="001405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pesquisa, tendo</w:t>
            </w:r>
            <w:r w:rsidR="005F18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assim</w:t>
            </w:r>
            <w:r w:rsidR="001405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5F18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informação necessária para prosseguir com as demandas. 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38"/>
      </w:tblGrid>
      <w:tr w:rsidR="00504C6A" w:rsidRPr="00074F58" w:rsidTr="000D2D18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4C6A" w:rsidRPr="00074F58" w:rsidRDefault="00504C6A" w:rsidP="002477FD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C6A" w:rsidRPr="00074F58" w:rsidRDefault="00BE26F8" w:rsidP="002477FD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26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dos contratos de Cessão de 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so dos imóveis dos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CAUs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RO e PI.</w:t>
            </w:r>
          </w:p>
        </w:tc>
      </w:tr>
      <w:tr w:rsidR="00504C6A" w:rsidRPr="00074F58" w:rsidTr="000D2D18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4C6A" w:rsidRPr="00074F58" w:rsidRDefault="00504C6A" w:rsidP="002477FD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C6A" w:rsidRPr="00074F58" w:rsidRDefault="00504C6A" w:rsidP="002477FD">
            <w:pPr>
              <w:keepNext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reunião</w:t>
            </w:r>
          </w:p>
        </w:tc>
      </w:tr>
      <w:tr w:rsidR="00504C6A" w:rsidRPr="00074F58" w:rsidTr="000D2D18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4C6A" w:rsidRPr="00074F58" w:rsidRDefault="00504C6A" w:rsidP="002477FD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C6A" w:rsidRPr="00074F58" w:rsidRDefault="00504C6A" w:rsidP="002477FD">
            <w:pPr>
              <w:keepNext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Assessor Alexandre Junckes Jacques</w:t>
            </w:r>
          </w:p>
        </w:tc>
      </w:tr>
      <w:tr w:rsidR="00504C6A" w:rsidRPr="00074F58" w:rsidTr="000D2D18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4C6A" w:rsidRPr="00074F58" w:rsidRDefault="00504C6A" w:rsidP="002477F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4C6A" w:rsidRPr="00074F58" w:rsidRDefault="000969FD" w:rsidP="001405B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Alexandre informa </w:t>
            </w:r>
            <w:r w:rsidR="001405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apenas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CAU/RO</w:t>
            </w:r>
            <w:r w:rsidR="00EA5B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retornou com informações sobre os contratos de cessão de uso de imóveis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em seguida apresentou o contrato de cessão de uso, a publicação no DOU da</w:t>
            </w:r>
            <w:r w:rsidR="005F18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cessão e o termo de cautela</w:t>
            </w:r>
            <w:r w:rsidR="001405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recebidos pelo CAU/RO</w:t>
            </w:r>
            <w:r w:rsidR="005F18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1405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Posteriormente, a conselheira Rosana solicitou</w:t>
            </w:r>
            <w:r w:rsidR="005F18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fluxo de como</w:t>
            </w:r>
            <w:r w:rsidR="001405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Conselho de Rondônia conseguiu</w:t>
            </w:r>
            <w:r w:rsidR="005F18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cessão (qual o caminho para chegar até a aquisição desses documentos). </w:t>
            </w:r>
            <w:r w:rsidR="002F5B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Houve destaque no tempo de cessão, sendo de 20 anos, renováveis por iguais e sucessivos períodos. </w:t>
            </w:r>
          </w:p>
        </w:tc>
      </w:tr>
    </w:tbl>
    <w:p w:rsidR="005A251F" w:rsidRDefault="005A251F" w:rsidP="005A251F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38"/>
      </w:tblGrid>
      <w:tr w:rsidR="00D10EA0" w:rsidRPr="00074F58" w:rsidTr="000D2D18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10EA0" w:rsidRPr="00074F58" w:rsidRDefault="00D10EA0" w:rsidP="004F5FA6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EA0" w:rsidRPr="00074F58" w:rsidRDefault="00BE26F8" w:rsidP="004F5FA6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26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dos Programas de 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cessidades dos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CAUs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PR, RS e MG.</w:t>
            </w:r>
          </w:p>
        </w:tc>
      </w:tr>
      <w:tr w:rsidR="00D10EA0" w:rsidRPr="00074F58" w:rsidTr="000D2D18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10EA0" w:rsidRPr="00074F58" w:rsidRDefault="00D10EA0" w:rsidP="004F5FA6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EA0" w:rsidRPr="00074F58" w:rsidRDefault="00D10EA0" w:rsidP="004F5FA6">
            <w:pPr>
              <w:keepNext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reunião</w:t>
            </w:r>
          </w:p>
        </w:tc>
      </w:tr>
      <w:tr w:rsidR="00D10EA0" w:rsidRPr="00074F58" w:rsidTr="000D2D18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10EA0" w:rsidRPr="00074F58" w:rsidRDefault="00D10EA0" w:rsidP="004F5FA6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EA0" w:rsidRPr="00074F58" w:rsidRDefault="00D10EA0" w:rsidP="004F5FA6">
            <w:pPr>
              <w:keepNext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Assessor Alexandre Junckes Jacques</w:t>
            </w:r>
          </w:p>
        </w:tc>
      </w:tr>
      <w:tr w:rsidR="00D10EA0" w:rsidRPr="00074F58" w:rsidTr="000D2D18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10EA0" w:rsidRPr="00074F58" w:rsidRDefault="00D10EA0" w:rsidP="004F5F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168" w:rsidRPr="00770E4F" w:rsidRDefault="00911EEB" w:rsidP="0055177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</w:t>
            </w:r>
            <w:r>
              <w:rPr>
                <w:rFonts w:ascii="Arial" w:hAnsi="Arial" w:cs="Arial"/>
                <w:sz w:val="22"/>
                <w:szCs w:val="22"/>
              </w:rPr>
              <w:t>Alexandre Junckes Jacques</w:t>
            </w:r>
            <w:r w:rsidR="00A709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envi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A709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 e-mail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os 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(PR, RS e MG). Com relação ao </w:t>
            </w:r>
            <w:r w:rsidR="00A709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CAU/MG obteve a resposta que não possui sede própria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ainda</w:t>
            </w:r>
            <w:r w:rsidR="00A709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nem programa de necessidades. 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CAU/PR</w:t>
            </w:r>
            <w:r w:rsidR="00A709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E6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ainda </w:t>
            </w:r>
            <w:r w:rsidR="00A709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respondeu 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A5B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</w:t>
            </w:r>
            <w:r w:rsidR="00A709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que não tem o programa de necessidades, mas que pode montar um programa com base no que eles possuem hoje. Ficou acordado que será aguardado a resposta do CAU/RS.</w:t>
            </w:r>
            <w:r w:rsidR="005517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Gerente Geral Alcenira Vanderlinde se disponibilizou para falar com os </w:t>
            </w:r>
            <w:r w:rsidR="002A71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Gerentes Gerais </w:t>
            </w:r>
            <w:r w:rsidR="005517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outros </w:t>
            </w:r>
            <w:proofErr w:type="spellStart"/>
            <w:r w:rsidR="005517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CAUs</w:t>
            </w:r>
            <w:proofErr w:type="spellEnd"/>
            <w:r w:rsidR="005517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caso precise. </w:t>
            </w:r>
          </w:p>
        </w:tc>
      </w:tr>
    </w:tbl>
    <w:p w:rsidR="00504C6A" w:rsidRDefault="00504C6A" w:rsidP="005A251F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38"/>
      </w:tblGrid>
      <w:tr w:rsidR="00D10EA0" w:rsidRPr="00074F58" w:rsidTr="000D2D18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10EA0" w:rsidRPr="00074F58" w:rsidRDefault="00D10EA0" w:rsidP="004F5FA6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EA0" w:rsidRPr="00074F58" w:rsidRDefault="00BE26F8" w:rsidP="004F5FA6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26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Definição dos próximos encaminhamentos conforme Plano de Trabalho da CTP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D10EA0" w:rsidRPr="00074F58" w:rsidTr="000D2D18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10EA0" w:rsidRPr="00074F58" w:rsidRDefault="00D10EA0" w:rsidP="004F5FA6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EA0" w:rsidRPr="00074F58" w:rsidRDefault="00D10EA0" w:rsidP="004F5FA6">
            <w:pPr>
              <w:keepNext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reunião</w:t>
            </w:r>
          </w:p>
        </w:tc>
      </w:tr>
      <w:tr w:rsidR="00D10EA0" w:rsidRPr="00074F58" w:rsidTr="000D2D18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10EA0" w:rsidRPr="00074F58" w:rsidRDefault="00D10EA0" w:rsidP="004F5FA6">
            <w:pPr>
              <w:keepNext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EA0" w:rsidRPr="00074F58" w:rsidRDefault="00D10EA0" w:rsidP="004F5FA6">
            <w:pPr>
              <w:keepNext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Assessor Alexandre Junckes Jacques</w:t>
            </w:r>
          </w:p>
        </w:tc>
      </w:tr>
      <w:tr w:rsidR="00D10EA0" w:rsidRPr="00074F58" w:rsidTr="000D2D18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10EA0" w:rsidRPr="00074F58" w:rsidRDefault="00D10EA0" w:rsidP="004F5F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EEB" w:rsidRPr="008C66EB" w:rsidRDefault="00B43353" w:rsidP="00B43353">
            <w:pPr>
              <w:jc w:val="both"/>
              <w:rPr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próximos encami</w:t>
            </w:r>
            <w:r w:rsidR="002E6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nhamentos serão o agendamento 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com a </w:t>
            </w:r>
            <w:r w:rsidR="004F4A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Secretaria do E</w:t>
            </w:r>
            <w:r w:rsidR="00911E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stado </w:t>
            </w:r>
            <w:r w:rsidR="00C528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Santa Catarina </w:t>
            </w:r>
            <w:r w:rsidR="00911E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retomada</w:t>
            </w:r>
            <w:r w:rsidR="005517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urgência</w:t>
            </w:r>
            <w:r w:rsidR="00911E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agendamento com o</w:t>
            </w:r>
            <w:r w:rsidR="00911E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IPUF. </w:t>
            </w:r>
          </w:p>
        </w:tc>
      </w:tr>
    </w:tbl>
    <w:p w:rsidR="00757043" w:rsidRDefault="00757043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6759CF" w:rsidRDefault="006759CF" w:rsidP="006759CF">
      <w:pPr>
        <w:pStyle w:val="SemEspaamento"/>
        <w:rPr>
          <w:rFonts w:ascii="Arial" w:hAnsi="Arial" w:cs="Arial"/>
          <w:sz w:val="22"/>
          <w:szCs w:val="22"/>
        </w:rPr>
      </w:pPr>
    </w:p>
    <w:p w:rsidR="006759CF" w:rsidRDefault="006759CF" w:rsidP="006759CF">
      <w:pPr>
        <w:pStyle w:val="SemEspaamento"/>
        <w:rPr>
          <w:rFonts w:ascii="Arial" w:hAnsi="Arial" w:cs="Arial"/>
          <w:sz w:val="22"/>
          <w:szCs w:val="22"/>
        </w:rPr>
      </w:pPr>
    </w:p>
    <w:p w:rsidR="006759CF" w:rsidRDefault="006759CF" w:rsidP="006759CF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8505" w:type="dxa"/>
        <w:jc w:val="center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686"/>
        <w:gridCol w:w="794"/>
        <w:gridCol w:w="4025"/>
      </w:tblGrid>
      <w:tr w:rsidR="006759CF" w:rsidRPr="009701CE" w:rsidTr="004B3A5D">
        <w:trPr>
          <w:jc w:val="center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59CF" w:rsidRPr="009701CE" w:rsidRDefault="006759CF" w:rsidP="00622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CF" w:rsidRPr="009701CE" w:rsidRDefault="006759CF" w:rsidP="006229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59CF" w:rsidRPr="009701CE" w:rsidRDefault="006759CF" w:rsidP="006229DA">
            <w:pPr>
              <w:jc w:val="center"/>
              <w:rPr>
                <w:rFonts w:ascii="Arial" w:hAnsi="Arial" w:cs="Arial"/>
              </w:rPr>
            </w:pPr>
          </w:p>
        </w:tc>
      </w:tr>
      <w:tr w:rsidR="006759CF" w:rsidRPr="007B15A0" w:rsidTr="004B3A5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CF" w:rsidRPr="007B15A0" w:rsidRDefault="006759CF" w:rsidP="006229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</w:rPr>
              <w:t>ROSANA SILVEIRA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9CF" w:rsidRPr="007B15A0" w:rsidRDefault="006759CF" w:rsidP="006229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CF" w:rsidRPr="007B15A0" w:rsidRDefault="006759CF" w:rsidP="006229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</w:rPr>
              <w:t>SILVYA HELENA CAPRARIO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a-Adjunta</w:t>
            </w:r>
          </w:p>
        </w:tc>
      </w:tr>
    </w:tbl>
    <w:p w:rsidR="006759CF" w:rsidRPr="002A07A6" w:rsidRDefault="006759CF" w:rsidP="006759CF">
      <w:pPr>
        <w:pStyle w:val="SemEspaamento"/>
        <w:rPr>
          <w:rFonts w:ascii="Arial" w:hAnsi="Arial" w:cs="Arial"/>
          <w:sz w:val="22"/>
          <w:szCs w:val="22"/>
        </w:rPr>
      </w:pPr>
    </w:p>
    <w:p w:rsidR="006759CF" w:rsidRDefault="006759CF" w:rsidP="006759CF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8505" w:type="dxa"/>
        <w:jc w:val="center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686"/>
        <w:gridCol w:w="794"/>
        <w:gridCol w:w="4025"/>
      </w:tblGrid>
      <w:tr w:rsidR="006759CF" w:rsidRPr="009701CE" w:rsidTr="004B3A5D">
        <w:trPr>
          <w:jc w:val="center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59CF" w:rsidRPr="009701CE" w:rsidRDefault="006759CF" w:rsidP="006229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(ausente)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9CF" w:rsidRPr="009701CE" w:rsidRDefault="006759CF" w:rsidP="006229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59CF" w:rsidRPr="009701CE" w:rsidRDefault="006759CF" w:rsidP="006229DA">
            <w:pPr>
              <w:jc w:val="center"/>
              <w:rPr>
                <w:rFonts w:ascii="Arial" w:hAnsi="Arial" w:cs="Arial"/>
              </w:rPr>
            </w:pPr>
          </w:p>
        </w:tc>
      </w:tr>
      <w:tr w:rsidR="006759CF" w:rsidRPr="007B15A0" w:rsidTr="004B3A5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CF" w:rsidRPr="007B15A0" w:rsidRDefault="006759CF" w:rsidP="006229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</w:rPr>
              <w:t>RONALDO DE LIMA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Pr="007E25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9CF" w:rsidRPr="007B15A0" w:rsidRDefault="006759CF" w:rsidP="006229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CF" w:rsidRPr="007B15A0" w:rsidRDefault="006759CF" w:rsidP="006229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ALEXANDRE JUNCKES JACQUES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Pr="007E25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</w:tr>
    </w:tbl>
    <w:p w:rsidR="006759CF" w:rsidRPr="002A07A6" w:rsidRDefault="006759CF" w:rsidP="006759CF">
      <w:pPr>
        <w:pStyle w:val="SemEspaamento"/>
        <w:rPr>
          <w:rFonts w:ascii="Arial" w:hAnsi="Arial" w:cs="Arial"/>
          <w:sz w:val="22"/>
          <w:szCs w:val="22"/>
        </w:rPr>
      </w:pPr>
    </w:p>
    <w:p w:rsidR="006759CF" w:rsidRPr="002A07A6" w:rsidRDefault="006759CF" w:rsidP="006759CF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686"/>
      </w:tblGrid>
      <w:tr w:rsidR="006759CF" w:rsidRPr="009701CE" w:rsidTr="004B3A5D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6759CF" w:rsidRPr="009701CE" w:rsidRDefault="006759CF" w:rsidP="006229DA">
            <w:pPr>
              <w:jc w:val="center"/>
              <w:rPr>
                <w:rFonts w:ascii="Arial" w:hAnsi="Arial" w:cs="Arial"/>
              </w:rPr>
            </w:pPr>
          </w:p>
        </w:tc>
      </w:tr>
      <w:tr w:rsidR="006759CF" w:rsidRPr="007B15A0" w:rsidTr="004B3A5D">
        <w:trPr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6759CF" w:rsidRDefault="006759CF" w:rsidP="006229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LARAUE POMMERENING</w:t>
            </w:r>
          </w:p>
          <w:p w:rsidR="006759CF" w:rsidRPr="007B15A0" w:rsidRDefault="006759CF" w:rsidP="006229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</w:t>
            </w:r>
          </w:p>
        </w:tc>
      </w:tr>
    </w:tbl>
    <w:p w:rsidR="006759CF" w:rsidRPr="00EF0930" w:rsidRDefault="006759CF" w:rsidP="006759CF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sz w:val="2"/>
          <w:szCs w:val="2"/>
        </w:rPr>
      </w:pPr>
    </w:p>
    <w:p w:rsidR="009151FF" w:rsidRDefault="009151FF" w:rsidP="004B3A5D"/>
    <w:sectPr w:rsidR="009151FF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C0678"/>
    <w:multiLevelType w:val="hybridMultilevel"/>
    <w:tmpl w:val="43B0366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35C10"/>
    <w:multiLevelType w:val="multilevel"/>
    <w:tmpl w:val="42C025B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1" w15:restartNumberingAfterBreak="0">
    <w:nsid w:val="64CA5BC6"/>
    <w:multiLevelType w:val="hybridMultilevel"/>
    <w:tmpl w:val="2C7275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E3305"/>
    <w:multiLevelType w:val="hybridMultilevel"/>
    <w:tmpl w:val="2F32E646"/>
    <w:lvl w:ilvl="0" w:tplc="D36C5C8E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70F16"/>
    <w:multiLevelType w:val="hybridMultilevel"/>
    <w:tmpl w:val="F7EE02C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22"/>
  </w:num>
  <w:num w:numId="5">
    <w:abstractNumId w:val="15"/>
  </w:num>
  <w:num w:numId="6">
    <w:abstractNumId w:val="23"/>
  </w:num>
  <w:num w:numId="7">
    <w:abstractNumId w:val="8"/>
  </w:num>
  <w:num w:numId="8">
    <w:abstractNumId w:val="13"/>
  </w:num>
  <w:num w:numId="9">
    <w:abstractNumId w:val="26"/>
  </w:num>
  <w:num w:numId="10">
    <w:abstractNumId w:val="17"/>
  </w:num>
  <w:num w:numId="11">
    <w:abstractNumId w:val="6"/>
  </w:num>
  <w:num w:numId="12">
    <w:abstractNumId w:val="9"/>
  </w:num>
  <w:num w:numId="13">
    <w:abstractNumId w:val="14"/>
  </w:num>
  <w:num w:numId="14">
    <w:abstractNumId w:val="2"/>
  </w:num>
  <w:num w:numId="15">
    <w:abstractNumId w:val="1"/>
  </w:num>
  <w:num w:numId="16">
    <w:abstractNumId w:val="10"/>
  </w:num>
  <w:num w:numId="17">
    <w:abstractNumId w:val="0"/>
  </w:num>
  <w:num w:numId="18">
    <w:abstractNumId w:val="12"/>
  </w:num>
  <w:num w:numId="19">
    <w:abstractNumId w:val="11"/>
  </w:num>
  <w:num w:numId="20">
    <w:abstractNumId w:val="7"/>
  </w:num>
  <w:num w:numId="21">
    <w:abstractNumId w:val="5"/>
  </w:num>
  <w:num w:numId="22">
    <w:abstractNumId w:val="18"/>
  </w:num>
  <w:num w:numId="23">
    <w:abstractNumId w:val="16"/>
  </w:num>
  <w:num w:numId="24">
    <w:abstractNumId w:val="25"/>
  </w:num>
  <w:num w:numId="25">
    <w:abstractNumId w:val="3"/>
  </w:num>
  <w:num w:numId="26">
    <w:abstractNumId w:val="21"/>
  </w:num>
  <w:num w:numId="27">
    <w:abstractNumId w:val="2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025E"/>
    <w:rsid w:val="00013A57"/>
    <w:rsid w:val="000149C9"/>
    <w:rsid w:val="00020BE5"/>
    <w:rsid w:val="000242B1"/>
    <w:rsid w:val="000264CA"/>
    <w:rsid w:val="000267E6"/>
    <w:rsid w:val="00031880"/>
    <w:rsid w:val="00036917"/>
    <w:rsid w:val="00040616"/>
    <w:rsid w:val="00046954"/>
    <w:rsid w:val="00047AB7"/>
    <w:rsid w:val="00052C4C"/>
    <w:rsid w:val="00053FA1"/>
    <w:rsid w:val="000553AB"/>
    <w:rsid w:val="00055623"/>
    <w:rsid w:val="00055E06"/>
    <w:rsid w:val="00057390"/>
    <w:rsid w:val="0005742D"/>
    <w:rsid w:val="00057610"/>
    <w:rsid w:val="00061FD9"/>
    <w:rsid w:val="00063811"/>
    <w:rsid w:val="00064F5C"/>
    <w:rsid w:val="000725A8"/>
    <w:rsid w:val="00072600"/>
    <w:rsid w:val="00074770"/>
    <w:rsid w:val="00074F58"/>
    <w:rsid w:val="00077E0B"/>
    <w:rsid w:val="0008069F"/>
    <w:rsid w:val="00082C60"/>
    <w:rsid w:val="00083AC0"/>
    <w:rsid w:val="00084A50"/>
    <w:rsid w:val="00086213"/>
    <w:rsid w:val="000940DA"/>
    <w:rsid w:val="000969FD"/>
    <w:rsid w:val="00096FD5"/>
    <w:rsid w:val="00097576"/>
    <w:rsid w:val="000A0CFB"/>
    <w:rsid w:val="000A6944"/>
    <w:rsid w:val="000A75AD"/>
    <w:rsid w:val="000B0644"/>
    <w:rsid w:val="000B70E1"/>
    <w:rsid w:val="000C0120"/>
    <w:rsid w:val="000C3639"/>
    <w:rsid w:val="000C388F"/>
    <w:rsid w:val="000C4178"/>
    <w:rsid w:val="000D216C"/>
    <w:rsid w:val="000D2B6A"/>
    <w:rsid w:val="000D2D18"/>
    <w:rsid w:val="000D6599"/>
    <w:rsid w:val="000D7304"/>
    <w:rsid w:val="000F103F"/>
    <w:rsid w:val="000F5320"/>
    <w:rsid w:val="001059C4"/>
    <w:rsid w:val="0011020F"/>
    <w:rsid w:val="00110EB3"/>
    <w:rsid w:val="00117DE2"/>
    <w:rsid w:val="00121FDD"/>
    <w:rsid w:val="001224E4"/>
    <w:rsid w:val="00131206"/>
    <w:rsid w:val="001344FD"/>
    <w:rsid w:val="001346CA"/>
    <w:rsid w:val="00134F8E"/>
    <w:rsid w:val="001405B0"/>
    <w:rsid w:val="00141657"/>
    <w:rsid w:val="00144276"/>
    <w:rsid w:val="00145788"/>
    <w:rsid w:val="00145D89"/>
    <w:rsid w:val="00150B42"/>
    <w:rsid w:val="0015322F"/>
    <w:rsid w:val="001536D6"/>
    <w:rsid w:val="001554CE"/>
    <w:rsid w:val="0015588F"/>
    <w:rsid w:val="00160902"/>
    <w:rsid w:val="00166E59"/>
    <w:rsid w:val="00170335"/>
    <w:rsid w:val="001722B2"/>
    <w:rsid w:val="001730CD"/>
    <w:rsid w:val="00177391"/>
    <w:rsid w:val="00177BC8"/>
    <w:rsid w:val="00183EFB"/>
    <w:rsid w:val="001944ED"/>
    <w:rsid w:val="001A21EE"/>
    <w:rsid w:val="001A47AC"/>
    <w:rsid w:val="001A53C0"/>
    <w:rsid w:val="001B7653"/>
    <w:rsid w:val="001C06BD"/>
    <w:rsid w:val="001C0B81"/>
    <w:rsid w:val="001C1BEC"/>
    <w:rsid w:val="001C20C8"/>
    <w:rsid w:val="001C2851"/>
    <w:rsid w:val="001C510E"/>
    <w:rsid w:val="001C5281"/>
    <w:rsid w:val="001C58D0"/>
    <w:rsid w:val="001C6CCB"/>
    <w:rsid w:val="001D1067"/>
    <w:rsid w:val="001D14B0"/>
    <w:rsid w:val="001D4EB9"/>
    <w:rsid w:val="001E0BDD"/>
    <w:rsid w:val="001E1E74"/>
    <w:rsid w:val="001E48CE"/>
    <w:rsid w:val="001E498F"/>
    <w:rsid w:val="001E71C2"/>
    <w:rsid w:val="001E77A0"/>
    <w:rsid w:val="001F13B1"/>
    <w:rsid w:val="001F1F5A"/>
    <w:rsid w:val="001F4699"/>
    <w:rsid w:val="001F4AFA"/>
    <w:rsid w:val="001F694F"/>
    <w:rsid w:val="00207223"/>
    <w:rsid w:val="002142C4"/>
    <w:rsid w:val="002158E3"/>
    <w:rsid w:val="00216DC8"/>
    <w:rsid w:val="00217A03"/>
    <w:rsid w:val="00220740"/>
    <w:rsid w:val="00221BD4"/>
    <w:rsid w:val="00225400"/>
    <w:rsid w:val="00227598"/>
    <w:rsid w:val="00231EFC"/>
    <w:rsid w:val="00236CF5"/>
    <w:rsid w:val="00237377"/>
    <w:rsid w:val="00241139"/>
    <w:rsid w:val="002440D3"/>
    <w:rsid w:val="00244C10"/>
    <w:rsid w:val="0025014B"/>
    <w:rsid w:val="002508A0"/>
    <w:rsid w:val="0025616B"/>
    <w:rsid w:val="002578F6"/>
    <w:rsid w:val="00261A51"/>
    <w:rsid w:val="00264377"/>
    <w:rsid w:val="00266B70"/>
    <w:rsid w:val="0026716C"/>
    <w:rsid w:val="0026768E"/>
    <w:rsid w:val="00267EC2"/>
    <w:rsid w:val="002705F6"/>
    <w:rsid w:val="00271B58"/>
    <w:rsid w:val="002829AA"/>
    <w:rsid w:val="00285DF6"/>
    <w:rsid w:val="002903FC"/>
    <w:rsid w:val="00291CC5"/>
    <w:rsid w:val="00291E5A"/>
    <w:rsid w:val="002961F1"/>
    <w:rsid w:val="002963BC"/>
    <w:rsid w:val="00297E92"/>
    <w:rsid w:val="002A1BB1"/>
    <w:rsid w:val="002A67ED"/>
    <w:rsid w:val="002A6DDC"/>
    <w:rsid w:val="002A711F"/>
    <w:rsid w:val="002A765E"/>
    <w:rsid w:val="002A7D81"/>
    <w:rsid w:val="002B3746"/>
    <w:rsid w:val="002B4E18"/>
    <w:rsid w:val="002B5AA9"/>
    <w:rsid w:val="002B5BFD"/>
    <w:rsid w:val="002B6F7A"/>
    <w:rsid w:val="002B76D9"/>
    <w:rsid w:val="002B7BDF"/>
    <w:rsid w:val="002C6726"/>
    <w:rsid w:val="002C775D"/>
    <w:rsid w:val="002E50C5"/>
    <w:rsid w:val="002E68FB"/>
    <w:rsid w:val="002E6B5E"/>
    <w:rsid w:val="002F49CC"/>
    <w:rsid w:val="002F5B6B"/>
    <w:rsid w:val="00303F75"/>
    <w:rsid w:val="0030493F"/>
    <w:rsid w:val="00304CDC"/>
    <w:rsid w:val="00306085"/>
    <w:rsid w:val="003068B9"/>
    <w:rsid w:val="003076DE"/>
    <w:rsid w:val="0031666E"/>
    <w:rsid w:val="00320313"/>
    <w:rsid w:val="00323934"/>
    <w:rsid w:val="00327F2E"/>
    <w:rsid w:val="003338D2"/>
    <w:rsid w:val="00335DBE"/>
    <w:rsid w:val="00341B3A"/>
    <w:rsid w:val="003421F8"/>
    <w:rsid w:val="003467A3"/>
    <w:rsid w:val="003553DC"/>
    <w:rsid w:val="00355CC2"/>
    <w:rsid w:val="00357064"/>
    <w:rsid w:val="0036061C"/>
    <w:rsid w:val="00361508"/>
    <w:rsid w:val="00361E09"/>
    <w:rsid w:val="0036204C"/>
    <w:rsid w:val="0036235A"/>
    <w:rsid w:val="00362A3C"/>
    <w:rsid w:val="00363FC8"/>
    <w:rsid w:val="00365062"/>
    <w:rsid w:val="00365613"/>
    <w:rsid w:val="00365731"/>
    <w:rsid w:val="00365FCE"/>
    <w:rsid w:val="00370656"/>
    <w:rsid w:val="00370F41"/>
    <w:rsid w:val="00372485"/>
    <w:rsid w:val="00377071"/>
    <w:rsid w:val="00387BDD"/>
    <w:rsid w:val="00390F4C"/>
    <w:rsid w:val="00393C63"/>
    <w:rsid w:val="0039522F"/>
    <w:rsid w:val="0039544A"/>
    <w:rsid w:val="003A0BDC"/>
    <w:rsid w:val="003B00C8"/>
    <w:rsid w:val="003B19D8"/>
    <w:rsid w:val="003B21A7"/>
    <w:rsid w:val="003C0863"/>
    <w:rsid w:val="003C29F6"/>
    <w:rsid w:val="003D0817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19E5"/>
    <w:rsid w:val="00413824"/>
    <w:rsid w:val="0041620C"/>
    <w:rsid w:val="0042242B"/>
    <w:rsid w:val="00422FAE"/>
    <w:rsid w:val="00436843"/>
    <w:rsid w:val="00442214"/>
    <w:rsid w:val="00443CFD"/>
    <w:rsid w:val="00447776"/>
    <w:rsid w:val="004478FB"/>
    <w:rsid w:val="00453228"/>
    <w:rsid w:val="00456F30"/>
    <w:rsid w:val="00461307"/>
    <w:rsid w:val="004615C0"/>
    <w:rsid w:val="004711BE"/>
    <w:rsid w:val="004715F7"/>
    <w:rsid w:val="0048692E"/>
    <w:rsid w:val="00491927"/>
    <w:rsid w:val="00491DAB"/>
    <w:rsid w:val="00496E11"/>
    <w:rsid w:val="00497542"/>
    <w:rsid w:val="004A0F5B"/>
    <w:rsid w:val="004A15BA"/>
    <w:rsid w:val="004A1DDE"/>
    <w:rsid w:val="004A2B7B"/>
    <w:rsid w:val="004A30F3"/>
    <w:rsid w:val="004A4A7A"/>
    <w:rsid w:val="004A4BE1"/>
    <w:rsid w:val="004A5DC4"/>
    <w:rsid w:val="004A6580"/>
    <w:rsid w:val="004A68DE"/>
    <w:rsid w:val="004B03B4"/>
    <w:rsid w:val="004B1966"/>
    <w:rsid w:val="004B1BCE"/>
    <w:rsid w:val="004B3A5D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5F29"/>
    <w:rsid w:val="004D7079"/>
    <w:rsid w:val="004E332B"/>
    <w:rsid w:val="004E498A"/>
    <w:rsid w:val="004E4A99"/>
    <w:rsid w:val="004E683F"/>
    <w:rsid w:val="004E6E60"/>
    <w:rsid w:val="004F2693"/>
    <w:rsid w:val="004F36FE"/>
    <w:rsid w:val="004F4AF9"/>
    <w:rsid w:val="004F6111"/>
    <w:rsid w:val="004F7735"/>
    <w:rsid w:val="0050012B"/>
    <w:rsid w:val="005013DA"/>
    <w:rsid w:val="00501B5B"/>
    <w:rsid w:val="00502477"/>
    <w:rsid w:val="00503A29"/>
    <w:rsid w:val="00504C6A"/>
    <w:rsid w:val="00506EE4"/>
    <w:rsid w:val="00512239"/>
    <w:rsid w:val="00515C85"/>
    <w:rsid w:val="005212DB"/>
    <w:rsid w:val="00530C6D"/>
    <w:rsid w:val="00536609"/>
    <w:rsid w:val="00545A28"/>
    <w:rsid w:val="00547BBD"/>
    <w:rsid w:val="00550489"/>
    <w:rsid w:val="00551778"/>
    <w:rsid w:val="00555945"/>
    <w:rsid w:val="005574D8"/>
    <w:rsid w:val="00563951"/>
    <w:rsid w:val="00567708"/>
    <w:rsid w:val="005756B9"/>
    <w:rsid w:val="00580480"/>
    <w:rsid w:val="00582553"/>
    <w:rsid w:val="00583916"/>
    <w:rsid w:val="00586FB6"/>
    <w:rsid w:val="005908F6"/>
    <w:rsid w:val="0059094D"/>
    <w:rsid w:val="00594354"/>
    <w:rsid w:val="005A251F"/>
    <w:rsid w:val="005B0DDB"/>
    <w:rsid w:val="005B23D3"/>
    <w:rsid w:val="005B241A"/>
    <w:rsid w:val="005B3816"/>
    <w:rsid w:val="005B5261"/>
    <w:rsid w:val="005C18FA"/>
    <w:rsid w:val="005C1A76"/>
    <w:rsid w:val="005C6689"/>
    <w:rsid w:val="005C7670"/>
    <w:rsid w:val="005D2A35"/>
    <w:rsid w:val="005D4084"/>
    <w:rsid w:val="005D4975"/>
    <w:rsid w:val="005E0A7F"/>
    <w:rsid w:val="005E6968"/>
    <w:rsid w:val="005E6ABD"/>
    <w:rsid w:val="005F184D"/>
    <w:rsid w:val="005F46AA"/>
    <w:rsid w:val="005F4E33"/>
    <w:rsid w:val="005F5333"/>
    <w:rsid w:val="0060047A"/>
    <w:rsid w:val="0060162D"/>
    <w:rsid w:val="00602C1E"/>
    <w:rsid w:val="0060467B"/>
    <w:rsid w:val="006109D7"/>
    <w:rsid w:val="006130C4"/>
    <w:rsid w:val="006152F5"/>
    <w:rsid w:val="00615565"/>
    <w:rsid w:val="00616FEF"/>
    <w:rsid w:val="00617B92"/>
    <w:rsid w:val="00622425"/>
    <w:rsid w:val="00630470"/>
    <w:rsid w:val="0063124F"/>
    <w:rsid w:val="00631DE4"/>
    <w:rsid w:val="0063470C"/>
    <w:rsid w:val="00635847"/>
    <w:rsid w:val="00635F1E"/>
    <w:rsid w:val="00640A23"/>
    <w:rsid w:val="00643F80"/>
    <w:rsid w:val="00646A19"/>
    <w:rsid w:val="00652A19"/>
    <w:rsid w:val="0065398A"/>
    <w:rsid w:val="006540E4"/>
    <w:rsid w:val="006546FF"/>
    <w:rsid w:val="00656F14"/>
    <w:rsid w:val="006576C1"/>
    <w:rsid w:val="00660168"/>
    <w:rsid w:val="00661B5E"/>
    <w:rsid w:val="00663558"/>
    <w:rsid w:val="006659AD"/>
    <w:rsid w:val="006668E6"/>
    <w:rsid w:val="00671368"/>
    <w:rsid w:val="00671B78"/>
    <w:rsid w:val="006722E3"/>
    <w:rsid w:val="00672D03"/>
    <w:rsid w:val="006750D4"/>
    <w:rsid w:val="006759CF"/>
    <w:rsid w:val="006779BB"/>
    <w:rsid w:val="006859C6"/>
    <w:rsid w:val="0068717D"/>
    <w:rsid w:val="00687A2E"/>
    <w:rsid w:val="00690139"/>
    <w:rsid w:val="00695803"/>
    <w:rsid w:val="00695F65"/>
    <w:rsid w:val="006A03DA"/>
    <w:rsid w:val="006A05BA"/>
    <w:rsid w:val="006A752F"/>
    <w:rsid w:val="006A7980"/>
    <w:rsid w:val="006B3E0F"/>
    <w:rsid w:val="006B55A9"/>
    <w:rsid w:val="006B7A18"/>
    <w:rsid w:val="006C68ED"/>
    <w:rsid w:val="006D02FF"/>
    <w:rsid w:val="006D1902"/>
    <w:rsid w:val="006D224F"/>
    <w:rsid w:val="006D6C7D"/>
    <w:rsid w:val="006E4BFB"/>
    <w:rsid w:val="006E6DBF"/>
    <w:rsid w:val="006F128D"/>
    <w:rsid w:val="006F157A"/>
    <w:rsid w:val="006F4C1C"/>
    <w:rsid w:val="006F73D5"/>
    <w:rsid w:val="006F7875"/>
    <w:rsid w:val="006F7D41"/>
    <w:rsid w:val="00700ECC"/>
    <w:rsid w:val="0070571B"/>
    <w:rsid w:val="00705E6D"/>
    <w:rsid w:val="00715F7B"/>
    <w:rsid w:val="00715FE9"/>
    <w:rsid w:val="007165B8"/>
    <w:rsid w:val="00720CA4"/>
    <w:rsid w:val="00723004"/>
    <w:rsid w:val="0072663B"/>
    <w:rsid w:val="0072740B"/>
    <w:rsid w:val="007277EF"/>
    <w:rsid w:val="00736492"/>
    <w:rsid w:val="0074774B"/>
    <w:rsid w:val="00754C32"/>
    <w:rsid w:val="0075615A"/>
    <w:rsid w:val="00757043"/>
    <w:rsid w:val="00757581"/>
    <w:rsid w:val="00762FED"/>
    <w:rsid w:val="00763051"/>
    <w:rsid w:val="00766A25"/>
    <w:rsid w:val="007674F8"/>
    <w:rsid w:val="00767AA6"/>
    <w:rsid w:val="00770E4F"/>
    <w:rsid w:val="0077331E"/>
    <w:rsid w:val="0077389D"/>
    <w:rsid w:val="0077432C"/>
    <w:rsid w:val="007769DC"/>
    <w:rsid w:val="00776A30"/>
    <w:rsid w:val="00776F8E"/>
    <w:rsid w:val="00776FAB"/>
    <w:rsid w:val="00777492"/>
    <w:rsid w:val="00777C64"/>
    <w:rsid w:val="00777E83"/>
    <w:rsid w:val="007814DE"/>
    <w:rsid w:val="00781B53"/>
    <w:rsid w:val="00784090"/>
    <w:rsid w:val="0078483A"/>
    <w:rsid w:val="00792A9F"/>
    <w:rsid w:val="00792C0C"/>
    <w:rsid w:val="007A2D80"/>
    <w:rsid w:val="007A3450"/>
    <w:rsid w:val="007B06DC"/>
    <w:rsid w:val="007B07CE"/>
    <w:rsid w:val="007B15A0"/>
    <w:rsid w:val="007B735D"/>
    <w:rsid w:val="007C4464"/>
    <w:rsid w:val="007D11D5"/>
    <w:rsid w:val="007D6686"/>
    <w:rsid w:val="007E2556"/>
    <w:rsid w:val="007E4928"/>
    <w:rsid w:val="007F075B"/>
    <w:rsid w:val="007F253A"/>
    <w:rsid w:val="007F3BAB"/>
    <w:rsid w:val="007F4CC7"/>
    <w:rsid w:val="00800C9A"/>
    <w:rsid w:val="00801E91"/>
    <w:rsid w:val="0080438A"/>
    <w:rsid w:val="00805131"/>
    <w:rsid w:val="00805445"/>
    <w:rsid w:val="008066AA"/>
    <w:rsid w:val="0081565F"/>
    <w:rsid w:val="00815748"/>
    <w:rsid w:val="0081795B"/>
    <w:rsid w:val="008201F7"/>
    <w:rsid w:val="0082050F"/>
    <w:rsid w:val="00821148"/>
    <w:rsid w:val="0082129A"/>
    <w:rsid w:val="00822A86"/>
    <w:rsid w:val="00823D88"/>
    <w:rsid w:val="00824E22"/>
    <w:rsid w:val="00825477"/>
    <w:rsid w:val="00825A90"/>
    <w:rsid w:val="008265EA"/>
    <w:rsid w:val="008269CE"/>
    <w:rsid w:val="00832747"/>
    <w:rsid w:val="00835C2A"/>
    <w:rsid w:val="00840078"/>
    <w:rsid w:val="00841DB6"/>
    <w:rsid w:val="00842999"/>
    <w:rsid w:val="008429A0"/>
    <w:rsid w:val="00843DE7"/>
    <w:rsid w:val="008448DF"/>
    <w:rsid w:val="00844FD0"/>
    <w:rsid w:val="008462B3"/>
    <w:rsid w:val="008478D0"/>
    <w:rsid w:val="00854A11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A1A7F"/>
    <w:rsid w:val="008A5437"/>
    <w:rsid w:val="008A5DDC"/>
    <w:rsid w:val="008A74FE"/>
    <w:rsid w:val="008B7A96"/>
    <w:rsid w:val="008C13DC"/>
    <w:rsid w:val="008C2F09"/>
    <w:rsid w:val="008C66EB"/>
    <w:rsid w:val="008D2851"/>
    <w:rsid w:val="008D6858"/>
    <w:rsid w:val="008D6886"/>
    <w:rsid w:val="008E1794"/>
    <w:rsid w:val="008E50B1"/>
    <w:rsid w:val="008E7C1B"/>
    <w:rsid w:val="008F3E90"/>
    <w:rsid w:val="008F4AF6"/>
    <w:rsid w:val="008F4D5E"/>
    <w:rsid w:val="00900A1A"/>
    <w:rsid w:val="009014F6"/>
    <w:rsid w:val="00901588"/>
    <w:rsid w:val="0090306A"/>
    <w:rsid w:val="00905A38"/>
    <w:rsid w:val="00911EEB"/>
    <w:rsid w:val="00913AEB"/>
    <w:rsid w:val="009151FF"/>
    <w:rsid w:val="00921580"/>
    <w:rsid w:val="00921BA9"/>
    <w:rsid w:val="009224D6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6C3A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2897"/>
    <w:rsid w:val="009B3ED4"/>
    <w:rsid w:val="009B565D"/>
    <w:rsid w:val="009B6D55"/>
    <w:rsid w:val="009C0175"/>
    <w:rsid w:val="009C0C67"/>
    <w:rsid w:val="009C5890"/>
    <w:rsid w:val="009D38F5"/>
    <w:rsid w:val="009D5884"/>
    <w:rsid w:val="009E1731"/>
    <w:rsid w:val="009E619B"/>
    <w:rsid w:val="009F0571"/>
    <w:rsid w:val="009F2A41"/>
    <w:rsid w:val="009F406C"/>
    <w:rsid w:val="009F657B"/>
    <w:rsid w:val="00A0197A"/>
    <w:rsid w:val="00A03155"/>
    <w:rsid w:val="00A119A5"/>
    <w:rsid w:val="00A11A0A"/>
    <w:rsid w:val="00A16C10"/>
    <w:rsid w:val="00A2510E"/>
    <w:rsid w:val="00A263CB"/>
    <w:rsid w:val="00A31F2B"/>
    <w:rsid w:val="00A35F09"/>
    <w:rsid w:val="00A43593"/>
    <w:rsid w:val="00A437CB"/>
    <w:rsid w:val="00A437EC"/>
    <w:rsid w:val="00A52E9B"/>
    <w:rsid w:val="00A54525"/>
    <w:rsid w:val="00A56A67"/>
    <w:rsid w:val="00A5706E"/>
    <w:rsid w:val="00A57AFD"/>
    <w:rsid w:val="00A61824"/>
    <w:rsid w:val="00A6245B"/>
    <w:rsid w:val="00A63BCC"/>
    <w:rsid w:val="00A6748C"/>
    <w:rsid w:val="00A7092B"/>
    <w:rsid w:val="00A71B8A"/>
    <w:rsid w:val="00A74214"/>
    <w:rsid w:val="00A76F3C"/>
    <w:rsid w:val="00A80B39"/>
    <w:rsid w:val="00A80FDA"/>
    <w:rsid w:val="00A8167A"/>
    <w:rsid w:val="00A848C6"/>
    <w:rsid w:val="00A87E32"/>
    <w:rsid w:val="00A951F2"/>
    <w:rsid w:val="00AA2073"/>
    <w:rsid w:val="00AA34D4"/>
    <w:rsid w:val="00AA4808"/>
    <w:rsid w:val="00AA5D05"/>
    <w:rsid w:val="00AB3F02"/>
    <w:rsid w:val="00AB5908"/>
    <w:rsid w:val="00AC137D"/>
    <w:rsid w:val="00AC439B"/>
    <w:rsid w:val="00AC4F93"/>
    <w:rsid w:val="00AC7D8F"/>
    <w:rsid w:val="00AD3757"/>
    <w:rsid w:val="00AD4B94"/>
    <w:rsid w:val="00AE30FB"/>
    <w:rsid w:val="00AE4C31"/>
    <w:rsid w:val="00AE5007"/>
    <w:rsid w:val="00AE59C3"/>
    <w:rsid w:val="00AF3875"/>
    <w:rsid w:val="00B01C53"/>
    <w:rsid w:val="00B06C48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37E60"/>
    <w:rsid w:val="00B40FF3"/>
    <w:rsid w:val="00B428B8"/>
    <w:rsid w:val="00B43353"/>
    <w:rsid w:val="00B47018"/>
    <w:rsid w:val="00B517EC"/>
    <w:rsid w:val="00B51E4D"/>
    <w:rsid w:val="00B52AAA"/>
    <w:rsid w:val="00B53D04"/>
    <w:rsid w:val="00B5412C"/>
    <w:rsid w:val="00B6030B"/>
    <w:rsid w:val="00B60663"/>
    <w:rsid w:val="00B62D1E"/>
    <w:rsid w:val="00B63456"/>
    <w:rsid w:val="00B64035"/>
    <w:rsid w:val="00B66BF6"/>
    <w:rsid w:val="00B73EA1"/>
    <w:rsid w:val="00B74EDC"/>
    <w:rsid w:val="00B82956"/>
    <w:rsid w:val="00B86D94"/>
    <w:rsid w:val="00B913C5"/>
    <w:rsid w:val="00B9157B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0394"/>
    <w:rsid w:val="00BD2BCE"/>
    <w:rsid w:val="00BD32E4"/>
    <w:rsid w:val="00BD49D9"/>
    <w:rsid w:val="00BD49DC"/>
    <w:rsid w:val="00BD6327"/>
    <w:rsid w:val="00BD649D"/>
    <w:rsid w:val="00BE1181"/>
    <w:rsid w:val="00BE14D7"/>
    <w:rsid w:val="00BE26F8"/>
    <w:rsid w:val="00BE578D"/>
    <w:rsid w:val="00BE795A"/>
    <w:rsid w:val="00BF0233"/>
    <w:rsid w:val="00BF0A65"/>
    <w:rsid w:val="00BF2B1B"/>
    <w:rsid w:val="00BF4289"/>
    <w:rsid w:val="00BF5F91"/>
    <w:rsid w:val="00BF7407"/>
    <w:rsid w:val="00BF7CAC"/>
    <w:rsid w:val="00C0056E"/>
    <w:rsid w:val="00C00636"/>
    <w:rsid w:val="00C0396B"/>
    <w:rsid w:val="00C1092A"/>
    <w:rsid w:val="00C21411"/>
    <w:rsid w:val="00C22E82"/>
    <w:rsid w:val="00C30119"/>
    <w:rsid w:val="00C31D57"/>
    <w:rsid w:val="00C33F46"/>
    <w:rsid w:val="00C37566"/>
    <w:rsid w:val="00C418A4"/>
    <w:rsid w:val="00C41F87"/>
    <w:rsid w:val="00C46AA8"/>
    <w:rsid w:val="00C50AE5"/>
    <w:rsid w:val="00C50DDC"/>
    <w:rsid w:val="00C5281B"/>
    <w:rsid w:val="00C54702"/>
    <w:rsid w:val="00C56F2D"/>
    <w:rsid w:val="00C67B26"/>
    <w:rsid w:val="00C70926"/>
    <w:rsid w:val="00C72B88"/>
    <w:rsid w:val="00C72CF8"/>
    <w:rsid w:val="00C75E6A"/>
    <w:rsid w:val="00C8048D"/>
    <w:rsid w:val="00C808DF"/>
    <w:rsid w:val="00C848B5"/>
    <w:rsid w:val="00C87D95"/>
    <w:rsid w:val="00CA3D3F"/>
    <w:rsid w:val="00CA64CE"/>
    <w:rsid w:val="00CA7683"/>
    <w:rsid w:val="00CB151F"/>
    <w:rsid w:val="00CB46B0"/>
    <w:rsid w:val="00CB7B0E"/>
    <w:rsid w:val="00CC0076"/>
    <w:rsid w:val="00CC2F3C"/>
    <w:rsid w:val="00CC367B"/>
    <w:rsid w:val="00CC6685"/>
    <w:rsid w:val="00CD41C7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0EA0"/>
    <w:rsid w:val="00D13C7E"/>
    <w:rsid w:val="00D15C01"/>
    <w:rsid w:val="00D20F15"/>
    <w:rsid w:val="00D213DC"/>
    <w:rsid w:val="00D2553B"/>
    <w:rsid w:val="00D258CB"/>
    <w:rsid w:val="00D27E08"/>
    <w:rsid w:val="00D326D3"/>
    <w:rsid w:val="00D32C88"/>
    <w:rsid w:val="00D34E8B"/>
    <w:rsid w:val="00D406DB"/>
    <w:rsid w:val="00D408F4"/>
    <w:rsid w:val="00D43F47"/>
    <w:rsid w:val="00D44D13"/>
    <w:rsid w:val="00D457F0"/>
    <w:rsid w:val="00D55CBE"/>
    <w:rsid w:val="00D62E59"/>
    <w:rsid w:val="00D64E41"/>
    <w:rsid w:val="00D64E67"/>
    <w:rsid w:val="00D67297"/>
    <w:rsid w:val="00D67BBE"/>
    <w:rsid w:val="00D708BC"/>
    <w:rsid w:val="00D710D1"/>
    <w:rsid w:val="00D80AA3"/>
    <w:rsid w:val="00D80C22"/>
    <w:rsid w:val="00D82A78"/>
    <w:rsid w:val="00D877CF"/>
    <w:rsid w:val="00D91EE3"/>
    <w:rsid w:val="00D9358B"/>
    <w:rsid w:val="00D93DD0"/>
    <w:rsid w:val="00D95C52"/>
    <w:rsid w:val="00DA3042"/>
    <w:rsid w:val="00DA33DE"/>
    <w:rsid w:val="00DA386D"/>
    <w:rsid w:val="00DA4AA5"/>
    <w:rsid w:val="00DA5FB7"/>
    <w:rsid w:val="00DA6269"/>
    <w:rsid w:val="00DB1D02"/>
    <w:rsid w:val="00DB316A"/>
    <w:rsid w:val="00DB46D0"/>
    <w:rsid w:val="00DC4283"/>
    <w:rsid w:val="00DC4435"/>
    <w:rsid w:val="00DC5960"/>
    <w:rsid w:val="00DC69D4"/>
    <w:rsid w:val="00DC7E56"/>
    <w:rsid w:val="00DD1768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017D0"/>
    <w:rsid w:val="00E063EF"/>
    <w:rsid w:val="00E10A86"/>
    <w:rsid w:val="00E10E38"/>
    <w:rsid w:val="00E11392"/>
    <w:rsid w:val="00E130C8"/>
    <w:rsid w:val="00E13FF5"/>
    <w:rsid w:val="00E16582"/>
    <w:rsid w:val="00E229B7"/>
    <w:rsid w:val="00E25142"/>
    <w:rsid w:val="00E26F4B"/>
    <w:rsid w:val="00E3270B"/>
    <w:rsid w:val="00E35141"/>
    <w:rsid w:val="00E36A04"/>
    <w:rsid w:val="00E372FD"/>
    <w:rsid w:val="00E4241A"/>
    <w:rsid w:val="00E50F29"/>
    <w:rsid w:val="00E5126E"/>
    <w:rsid w:val="00E52752"/>
    <w:rsid w:val="00E5642E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5BF3"/>
    <w:rsid w:val="00EA6286"/>
    <w:rsid w:val="00EA6B76"/>
    <w:rsid w:val="00EA7283"/>
    <w:rsid w:val="00EA7C5C"/>
    <w:rsid w:val="00EB266F"/>
    <w:rsid w:val="00EB4FA9"/>
    <w:rsid w:val="00EB4FCE"/>
    <w:rsid w:val="00EB7639"/>
    <w:rsid w:val="00EC2049"/>
    <w:rsid w:val="00EC6E71"/>
    <w:rsid w:val="00ED0BFB"/>
    <w:rsid w:val="00ED1833"/>
    <w:rsid w:val="00EE136D"/>
    <w:rsid w:val="00EE18AC"/>
    <w:rsid w:val="00EE20B7"/>
    <w:rsid w:val="00EE30AC"/>
    <w:rsid w:val="00EE3521"/>
    <w:rsid w:val="00EE5CFE"/>
    <w:rsid w:val="00EE7B92"/>
    <w:rsid w:val="00EF0697"/>
    <w:rsid w:val="00EF6A93"/>
    <w:rsid w:val="00EF6D13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1C59"/>
    <w:rsid w:val="00F32AE5"/>
    <w:rsid w:val="00F32FAE"/>
    <w:rsid w:val="00F34EAA"/>
    <w:rsid w:val="00F35000"/>
    <w:rsid w:val="00F35977"/>
    <w:rsid w:val="00F46C4E"/>
    <w:rsid w:val="00F545E0"/>
    <w:rsid w:val="00F608EA"/>
    <w:rsid w:val="00F61E6F"/>
    <w:rsid w:val="00F80455"/>
    <w:rsid w:val="00F82A7B"/>
    <w:rsid w:val="00F83065"/>
    <w:rsid w:val="00F855CF"/>
    <w:rsid w:val="00F856A4"/>
    <w:rsid w:val="00F93117"/>
    <w:rsid w:val="00FB0324"/>
    <w:rsid w:val="00FB073F"/>
    <w:rsid w:val="00FB12CA"/>
    <w:rsid w:val="00FC21A5"/>
    <w:rsid w:val="00FC2676"/>
    <w:rsid w:val="00FC4162"/>
    <w:rsid w:val="00FC4D2D"/>
    <w:rsid w:val="00FD0F6C"/>
    <w:rsid w:val="00FD2DB8"/>
    <w:rsid w:val="00FD2FB0"/>
    <w:rsid w:val="00FE29F7"/>
    <w:rsid w:val="00FE6245"/>
    <w:rsid w:val="00FE7054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1ED680F3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EE7B9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759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59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59CF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59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59CF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E1863-5610-4F6E-A232-8BCBBD02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3336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Lélly</cp:lastModifiedBy>
  <cp:revision>2</cp:revision>
  <cp:lastPrinted>2017-03-15T19:28:00Z</cp:lastPrinted>
  <dcterms:created xsi:type="dcterms:W3CDTF">2019-03-22T12:40:00Z</dcterms:created>
  <dcterms:modified xsi:type="dcterms:W3CDTF">2019-03-22T12:40:00Z</dcterms:modified>
</cp:coreProperties>
</file>