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  <w:r w:rsidRPr="00677748">
        <w:rPr>
          <w:rFonts w:eastAsia="Cambria" w:cs="Arial"/>
          <w:b/>
        </w:rPr>
        <w:t xml:space="preserve">SÚMULA DA </w:t>
      </w:r>
      <w:r w:rsidR="00AB7DC3">
        <w:rPr>
          <w:rFonts w:eastAsia="Cambria" w:cs="Arial"/>
          <w:b/>
        </w:rPr>
        <w:t>8</w:t>
      </w:r>
      <w:r w:rsidRPr="00677748">
        <w:rPr>
          <w:rFonts w:eastAsia="Cambria" w:cs="Arial"/>
          <w:b/>
        </w:rPr>
        <w:t>ª REUNIÃO ORDINÁRIA CTP-CAU/SC</w:t>
      </w:r>
    </w:p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325"/>
        <w:gridCol w:w="2325"/>
        <w:gridCol w:w="238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AB7DC3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31/05</w:t>
            </w:r>
            <w:r w:rsidR="00677748" w:rsidRPr="00677748">
              <w:rPr>
                <w:rFonts w:eastAsia="Times New Roman" w:cs="Arial"/>
                <w:color w:val="000000"/>
                <w:lang w:eastAsia="pt-BR"/>
              </w:rPr>
              <w:t>/2019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09:00 - 12:00</w:t>
            </w:r>
          </w:p>
        </w:tc>
      </w:tr>
    </w:tbl>
    <w:p w:rsidR="00677748" w:rsidRPr="00677748" w:rsidRDefault="00677748" w:rsidP="00677748">
      <w:pPr>
        <w:rPr>
          <w:rFonts w:ascii="Cambria" w:eastAsia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Sede CAU/SC 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vMerge w:val="restart"/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ASSESSORIA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Alexandre Junckes Jacques – Assessor</w:t>
            </w:r>
          </w:p>
        </w:tc>
      </w:tr>
      <w:tr w:rsidR="00677748" w:rsidRPr="00677748" w:rsidTr="00677748">
        <w:tc>
          <w:tcPr>
            <w:tcW w:w="2041" w:type="dxa"/>
            <w:vMerge/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Laraue Pommerening – Secretária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Verificação de Quórum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21"/>
        <w:gridCol w:w="2833"/>
        <w:gridCol w:w="1303"/>
        <w:gridCol w:w="1303"/>
      </w:tblGrid>
      <w:tr w:rsidR="00677748" w:rsidRPr="00677748" w:rsidTr="00677748">
        <w:tc>
          <w:tcPr>
            <w:tcW w:w="6454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Membros presentes</w:t>
            </w:r>
          </w:p>
        </w:tc>
        <w:tc>
          <w:tcPr>
            <w:tcW w:w="1303" w:type="dxa"/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chegada</w:t>
            </w:r>
          </w:p>
        </w:tc>
        <w:tc>
          <w:tcPr>
            <w:tcW w:w="1303" w:type="dxa"/>
            <w:tcBorders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saída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Rosana Silveira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</w:t>
            </w:r>
          </w:p>
        </w:tc>
        <w:tc>
          <w:tcPr>
            <w:tcW w:w="1303" w:type="dxa"/>
            <w:vAlign w:val="center"/>
          </w:tcPr>
          <w:p w:rsidR="00677748" w:rsidRPr="00677748" w:rsidRDefault="00A92365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09h30min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9E33F0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13h00min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Silvya Helena Caprario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 Adjunta</w:t>
            </w:r>
          </w:p>
        </w:tc>
        <w:tc>
          <w:tcPr>
            <w:tcW w:w="1303" w:type="dxa"/>
            <w:vAlign w:val="center"/>
          </w:tcPr>
          <w:p w:rsidR="00677748" w:rsidRPr="00677748" w:rsidRDefault="00A92365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09h30min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9E33F0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13h00min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Ronaldo de Lima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1303" w:type="dxa"/>
            <w:vAlign w:val="center"/>
          </w:tcPr>
          <w:p w:rsidR="00677748" w:rsidRPr="00677748" w:rsidRDefault="00A92365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09h30min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9E33F0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13h00min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  <w:bookmarkStart w:id="0" w:name="_GoBack"/>
      <w:bookmarkEnd w:id="0"/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CONVIDADOS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Alcenira Vanderlinde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0"/>
        <w:gridCol w:w="7025"/>
      </w:tblGrid>
      <w:tr w:rsidR="00677748" w:rsidRPr="00677748" w:rsidTr="004B7587">
        <w:tc>
          <w:tcPr>
            <w:tcW w:w="9065" w:type="dxa"/>
            <w:gridSpan w:val="2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Ausências justificadas 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Conselheiro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Não houve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rPr>
          <w:trHeight w:val="301"/>
        </w:trPr>
        <w:tc>
          <w:tcPr>
            <w:tcW w:w="2041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Ausências não justificadas</w:t>
            </w:r>
          </w:p>
        </w:tc>
      </w:tr>
      <w:tr w:rsidR="00677748" w:rsidRPr="00677748" w:rsidTr="00677748">
        <w:trPr>
          <w:trHeight w:val="301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Conselheiros</w:t>
            </w: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Não houve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rPr>
          <w:trHeight w:hRule="exact"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bCs/>
                <w:color w:val="000000"/>
              </w:rPr>
              <w:t>Le</w:t>
            </w:r>
            <w:r w:rsidR="007958CB">
              <w:rPr>
                <w:rFonts w:eastAsia="Cambria" w:cs="Arial"/>
                <w:b/>
                <w:bCs/>
                <w:color w:val="000000"/>
              </w:rPr>
              <w:t>itura e aprovação da Súmula da 7</w:t>
            </w:r>
            <w:r w:rsidRPr="00677748">
              <w:rPr>
                <w:rFonts w:eastAsia="Cambria" w:cs="Arial"/>
                <w:b/>
                <w:bCs/>
                <w:color w:val="000000"/>
              </w:rPr>
              <w:t>ª Reunião Ordinária CTP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Encaminhar para publicação.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COMUNICAÇÃO</w:t>
            </w:r>
          </w:p>
        </w:tc>
      </w:tr>
      <w:tr w:rsidR="00677748" w:rsidRPr="00677748" w:rsidTr="004B7587"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7748" w:rsidRPr="00677748" w:rsidRDefault="00751CE2" w:rsidP="003D7019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Foi comunicado que</w:t>
            </w:r>
            <w:r w:rsidR="00DB44C9">
              <w:rPr>
                <w:rFonts w:eastAsia="Cambria" w:cs="Arial"/>
              </w:rPr>
              <w:t xml:space="preserve"> o Conselho Diretor prorrogou </w:t>
            </w:r>
            <w:r>
              <w:rPr>
                <w:rFonts w:eastAsia="Cambria" w:cs="Arial"/>
              </w:rPr>
              <w:t>p</w:t>
            </w:r>
            <w:r w:rsidR="003D7019">
              <w:rPr>
                <w:rFonts w:eastAsia="Cambria" w:cs="Arial"/>
              </w:rPr>
              <w:t>o</w:t>
            </w:r>
            <w:r>
              <w:rPr>
                <w:rFonts w:eastAsia="Cambria" w:cs="Arial"/>
              </w:rPr>
              <w:t xml:space="preserve">r mais 6 meses a Comissão Temporária de Patrimônio. 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ORDEM DO DIA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DB4C7F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DB4C7F">
              <w:rPr>
                <w:rFonts w:eastAsia="Times New Roman" w:cs="Arial"/>
                <w:b/>
                <w:bCs/>
                <w:color w:val="000000"/>
                <w:lang w:eastAsia="pt-BR"/>
              </w:rPr>
              <w:t>Atualização sobre respostas das agendas de cessão de uso (SPU, Governo e Prefeitura).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D36482" w:rsidP="00677748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="00751CE2" w:rsidRPr="00677748">
              <w:rPr>
                <w:rFonts w:eastAsia="MS Mincho" w:cs="Arial"/>
              </w:rPr>
              <w:t>Alexandre Junckes Jacques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5976E5" w:rsidP="003D7019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</w:rPr>
              <w:t xml:space="preserve">O assessor Alexandre </w:t>
            </w:r>
            <w:r w:rsidR="00751CE2" w:rsidRPr="00677748">
              <w:rPr>
                <w:rFonts w:eastAsia="MS Mincho" w:cs="Arial"/>
              </w:rPr>
              <w:t>Jacques</w:t>
            </w:r>
            <w:r w:rsidR="00751CE2" w:rsidRPr="00677748">
              <w:rPr>
                <w:rFonts w:eastAsia="Cambria" w:cs="Arial"/>
              </w:rPr>
              <w:t xml:space="preserve"> </w:t>
            </w:r>
            <w:r w:rsidR="00751CE2">
              <w:rPr>
                <w:rFonts w:eastAsia="Cambria" w:cs="Arial"/>
              </w:rPr>
              <w:t xml:space="preserve">comunica </w:t>
            </w:r>
            <w:r>
              <w:rPr>
                <w:rFonts w:eastAsia="Cambria" w:cs="Arial"/>
              </w:rPr>
              <w:t xml:space="preserve">sobre os pedidos de cessão de imóveis, </w:t>
            </w:r>
            <w:r w:rsidR="00751CE2">
              <w:rPr>
                <w:rFonts w:eastAsia="Cambria" w:cs="Arial"/>
              </w:rPr>
              <w:t xml:space="preserve">que </w:t>
            </w:r>
            <w:r>
              <w:rPr>
                <w:rFonts w:eastAsia="Cambria" w:cs="Arial"/>
              </w:rPr>
              <w:t>continuam as tratativas para agendamentos de novas reuniões com os órgãos públicos já consultados. O G</w:t>
            </w:r>
            <w:r w:rsidRPr="005976E5">
              <w:rPr>
                <w:rFonts w:eastAsia="Cambria" w:cs="Arial"/>
              </w:rPr>
              <w:t>overno do Estado</w:t>
            </w:r>
            <w:r>
              <w:rPr>
                <w:rFonts w:eastAsia="Cambria" w:cs="Arial"/>
              </w:rPr>
              <w:t xml:space="preserve"> pediu </w:t>
            </w:r>
            <w:r w:rsidRPr="005976E5">
              <w:rPr>
                <w:rFonts w:eastAsia="Cambria" w:cs="Arial"/>
              </w:rPr>
              <w:t>p</w:t>
            </w:r>
            <w:r>
              <w:rPr>
                <w:rFonts w:eastAsia="Cambria" w:cs="Arial"/>
              </w:rPr>
              <w:t>a</w:t>
            </w:r>
            <w:r w:rsidRPr="005976E5">
              <w:rPr>
                <w:rFonts w:eastAsia="Cambria" w:cs="Arial"/>
              </w:rPr>
              <w:t>ra aguarda</w:t>
            </w:r>
            <w:r w:rsidR="003D7019">
              <w:rPr>
                <w:rFonts w:eastAsia="Cambria" w:cs="Arial"/>
              </w:rPr>
              <w:t>r</w:t>
            </w:r>
            <w:r w:rsidRPr="005976E5">
              <w:rPr>
                <w:rFonts w:eastAsia="Cambria" w:cs="Arial"/>
              </w:rPr>
              <w:t xml:space="preserve">mos a reforma administrativa </w:t>
            </w:r>
            <w:r w:rsidR="00721D22">
              <w:rPr>
                <w:rFonts w:eastAsia="Cambria" w:cs="Arial"/>
              </w:rPr>
              <w:t xml:space="preserve">a </w:t>
            </w:r>
            <w:r w:rsidRPr="005976E5">
              <w:rPr>
                <w:rFonts w:eastAsia="Cambria" w:cs="Arial"/>
              </w:rPr>
              <w:t>ser aprovada e promulgada</w:t>
            </w:r>
            <w:r w:rsidR="00D24FCD">
              <w:rPr>
                <w:rFonts w:eastAsia="Cambria" w:cs="Arial"/>
              </w:rPr>
              <w:t xml:space="preserve">. A presidente do CAU/SC </w:t>
            </w:r>
            <w:r w:rsidR="00751CE2" w:rsidRPr="00751CE2">
              <w:rPr>
                <w:rFonts w:eastAsia="Cambria" w:cs="Arial"/>
              </w:rPr>
              <w:t>Daniela Pareja Garcia Sarmento</w:t>
            </w:r>
            <w:r w:rsidR="00D24FCD">
              <w:rPr>
                <w:rFonts w:eastAsia="Cambria" w:cs="Arial"/>
              </w:rPr>
              <w:t xml:space="preserve">, </w:t>
            </w:r>
            <w:r w:rsidR="00345007">
              <w:rPr>
                <w:rFonts w:eastAsia="Cambria" w:cs="Arial"/>
              </w:rPr>
              <w:lastRenderedPageBreak/>
              <w:t>informa que</w:t>
            </w:r>
            <w:r w:rsidR="003D7019">
              <w:rPr>
                <w:rFonts w:eastAsia="Cambria" w:cs="Arial"/>
              </w:rPr>
              <w:t>,</w:t>
            </w:r>
            <w:r w:rsidR="00345007">
              <w:rPr>
                <w:rFonts w:eastAsia="Cambria" w:cs="Arial"/>
              </w:rPr>
              <w:t xml:space="preserve"> </w:t>
            </w:r>
            <w:r w:rsidR="00D24FCD">
              <w:rPr>
                <w:rFonts w:eastAsia="Cambria" w:cs="Arial"/>
              </w:rPr>
              <w:t>sobre o</w:t>
            </w:r>
            <w:r w:rsidR="00345007">
              <w:rPr>
                <w:rFonts w:eastAsia="Cambria" w:cs="Arial"/>
              </w:rPr>
              <w:t xml:space="preserve"> antigo</w:t>
            </w:r>
            <w:r w:rsidR="00D24FCD">
              <w:rPr>
                <w:rFonts w:eastAsia="Cambria" w:cs="Arial"/>
              </w:rPr>
              <w:t xml:space="preserve"> Colégio Antonieta de Barros,</w:t>
            </w:r>
            <w:r w:rsidR="00345007">
              <w:rPr>
                <w:rFonts w:eastAsia="Cambria" w:cs="Arial"/>
              </w:rPr>
              <w:t xml:space="preserve"> </w:t>
            </w:r>
            <w:r w:rsidR="00D24FCD">
              <w:rPr>
                <w:rFonts w:eastAsia="Cambria" w:cs="Arial"/>
              </w:rPr>
              <w:t xml:space="preserve">tentou agendar reunião com o presidente da </w:t>
            </w:r>
            <w:r w:rsidR="00345007">
              <w:rPr>
                <w:rFonts w:eastAsia="Cambria" w:cs="Arial"/>
              </w:rPr>
              <w:t>Casa Civil</w:t>
            </w:r>
            <w:r w:rsidR="00D24FCD">
              <w:rPr>
                <w:rFonts w:eastAsia="Cambria" w:cs="Arial"/>
              </w:rPr>
              <w:t xml:space="preserve">, porém não obteve retorno. </w:t>
            </w:r>
            <w:r w:rsidR="00345007">
              <w:rPr>
                <w:rFonts w:eastAsia="Cambria" w:cs="Arial"/>
              </w:rPr>
              <w:t>Em seguida o</w:t>
            </w:r>
            <w:r w:rsidR="00D24FCD">
              <w:rPr>
                <w:rFonts w:eastAsia="Cambria" w:cs="Arial"/>
              </w:rPr>
              <w:t xml:space="preserve"> assessor Alexandre informa que o t</w:t>
            </w:r>
            <w:r w:rsidR="00ED29BE">
              <w:rPr>
                <w:rFonts w:eastAsia="Cambria" w:cs="Arial"/>
              </w:rPr>
              <w:t>erreno da beira mar de São José</w:t>
            </w:r>
            <w:r w:rsidR="003D7019">
              <w:rPr>
                <w:rFonts w:eastAsia="Cambria" w:cs="Arial"/>
              </w:rPr>
              <w:t>, ao lado do INCRA, segundo consulta realizada ao SPU, permanece disponível. Sendo assim, foi decidido formalizar</w:t>
            </w:r>
            <w:r w:rsidR="00ED29BE">
              <w:rPr>
                <w:rFonts w:eastAsia="Cambria" w:cs="Arial"/>
              </w:rPr>
              <w:t xml:space="preserve"> </w:t>
            </w:r>
            <w:r w:rsidR="003D7019">
              <w:rPr>
                <w:rFonts w:eastAsia="Cambria" w:cs="Arial"/>
              </w:rPr>
              <w:t>o requerimento do referido terreno</w:t>
            </w:r>
            <w:r w:rsidR="0022228B">
              <w:rPr>
                <w:rFonts w:eastAsia="Cambria" w:cs="Arial"/>
              </w:rPr>
              <w:t xml:space="preserve">. </w:t>
            </w:r>
            <w:r w:rsidR="003D7019">
              <w:rPr>
                <w:rFonts w:eastAsia="Cambria" w:cs="Arial"/>
              </w:rPr>
              <w:t>Quanto ao</w:t>
            </w:r>
            <w:r w:rsidR="0022228B">
              <w:rPr>
                <w:rFonts w:eastAsia="Cambria" w:cs="Arial"/>
              </w:rPr>
              <w:t xml:space="preserve"> terreno localizado na </w:t>
            </w:r>
            <w:r w:rsidR="00315991">
              <w:rPr>
                <w:rFonts w:eastAsia="Cambria" w:cs="Arial"/>
              </w:rPr>
              <w:t xml:space="preserve">rua </w:t>
            </w:r>
            <w:r w:rsidR="0022228B">
              <w:rPr>
                <w:rFonts w:eastAsia="Cambria" w:cs="Arial"/>
              </w:rPr>
              <w:t>Irmã</w:t>
            </w:r>
            <w:r w:rsidR="00ED29BE">
              <w:rPr>
                <w:rFonts w:eastAsia="Cambria" w:cs="Arial"/>
              </w:rPr>
              <w:t xml:space="preserve"> </w:t>
            </w:r>
            <w:proofErr w:type="spellStart"/>
            <w:r w:rsidR="00ED29BE">
              <w:rPr>
                <w:rFonts w:eastAsia="Cambria" w:cs="Arial"/>
              </w:rPr>
              <w:t>Bonavita</w:t>
            </w:r>
            <w:proofErr w:type="spellEnd"/>
            <w:r w:rsidR="003D7019">
              <w:rPr>
                <w:rFonts w:eastAsia="Cambria" w:cs="Arial"/>
              </w:rPr>
              <w:t>,</w:t>
            </w:r>
            <w:r w:rsidR="00ED29BE">
              <w:rPr>
                <w:rFonts w:eastAsia="Cambria" w:cs="Arial"/>
              </w:rPr>
              <w:t xml:space="preserve"> </w:t>
            </w:r>
            <w:r w:rsidR="003D7019">
              <w:rPr>
                <w:rFonts w:eastAsia="Cambria" w:cs="Arial"/>
              </w:rPr>
              <w:t>foi</w:t>
            </w:r>
            <w:r w:rsidR="00ED29BE">
              <w:rPr>
                <w:rFonts w:eastAsia="Cambria" w:cs="Arial"/>
              </w:rPr>
              <w:t xml:space="preserve"> desconsiderado por não atender </w:t>
            </w:r>
            <w:r w:rsidR="003D7019">
              <w:rPr>
                <w:rFonts w:eastAsia="Cambria" w:cs="Arial"/>
              </w:rPr>
              <w:t>a</w:t>
            </w:r>
            <w:r w:rsidR="00ED29BE">
              <w:rPr>
                <w:rFonts w:eastAsia="Cambria" w:cs="Arial"/>
              </w:rPr>
              <w:t>os requisitos para cessão de uso</w:t>
            </w:r>
            <w:r w:rsidR="00D24FCD">
              <w:rPr>
                <w:rFonts w:eastAsia="Cambria" w:cs="Arial"/>
              </w:rPr>
              <w:t>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90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721D22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Análise do TR da CT</w:t>
            </w:r>
            <w:r w:rsidR="00DB4C7F" w:rsidRPr="00DB4C7F">
              <w:rPr>
                <w:rFonts w:eastAsia="Times New Roman" w:cs="Arial"/>
                <w:b/>
                <w:bCs/>
                <w:color w:val="000000"/>
                <w:lang w:eastAsia="pt-BR"/>
              </w:rPr>
              <w:t>P 2015-2017 (sobre a aquisição de terreno para a Sede Própria).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A8587A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A8587A" w:rsidRDefault="00751CE2" w:rsidP="00AE1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A8587A">
              <w:rPr>
                <w:rFonts w:eastAsia="Times New Roman" w:cs="Arial"/>
                <w:color w:val="000000"/>
                <w:lang w:eastAsia="pt-BR"/>
              </w:rPr>
              <w:t xml:space="preserve">Inicialmente o assessor apresentou o Termo de referência, onde foram adicionadas as observações dos membros da comissão. Houve destaque para o detalhamento do objeto e fatores condicionantes da proposta do terreno, além dos fatores econômicos e conceituais. Posteriormente foram analisadas as exigências </w:t>
            </w:r>
            <w:r>
              <w:rPr>
                <w:rFonts w:eastAsia="Times New Roman" w:cs="Arial"/>
                <w:color w:val="000000"/>
                <w:lang w:eastAsia="pt-BR"/>
              </w:rPr>
              <w:t>do terreno, bem c</w:t>
            </w:r>
            <w:r w:rsidRPr="00A8587A">
              <w:rPr>
                <w:rFonts w:eastAsia="Times New Roman" w:cs="Arial"/>
                <w:color w:val="000000"/>
                <w:lang w:eastAsia="pt-BR"/>
              </w:rPr>
              <w:t>om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o </w:t>
            </w:r>
            <w:r w:rsidRPr="00A8587A">
              <w:rPr>
                <w:rFonts w:eastAsia="Times New Roman" w:cs="Arial"/>
                <w:color w:val="000000"/>
                <w:lang w:eastAsia="pt-BR"/>
              </w:rPr>
              <w:t>critérios de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avaliação onde houve consenso pelos membros. Ficou definido que deverão ser aceitos terrenos localizados em Florianópolis (conforme termo de referência em anexo), </w:t>
            </w:r>
            <w:r w:rsidR="00465987">
              <w:rPr>
                <w:rFonts w:eastAsia="Times New Roman" w:cs="Arial"/>
                <w:color w:val="000000"/>
                <w:lang w:eastAsia="pt-BR"/>
              </w:rPr>
              <w:t xml:space="preserve">entretanto </w:t>
            </w:r>
            <w:r>
              <w:rPr>
                <w:rFonts w:eastAsia="Times New Roman" w:cs="Arial"/>
                <w:color w:val="000000"/>
                <w:lang w:eastAsia="pt-BR"/>
              </w:rPr>
              <w:t>o arquiteto e urbanista Ronaldo</w:t>
            </w:r>
            <w:r w:rsidR="00663427">
              <w:rPr>
                <w:rFonts w:eastAsia="Times New Roman" w:cs="Arial"/>
                <w:color w:val="000000"/>
                <w:lang w:eastAsia="pt-BR"/>
              </w:rPr>
              <w:t xml:space="preserve"> de Lima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registra que não concorda com</w:t>
            </w:r>
            <w:r w:rsidR="00663427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150B40">
              <w:rPr>
                <w:rFonts w:eastAsia="Times New Roman" w:cs="Arial"/>
                <w:color w:val="000000"/>
                <w:lang w:eastAsia="pt-BR"/>
              </w:rPr>
              <w:t>o detalhamento</w:t>
            </w:r>
            <w:r w:rsidR="00663427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150B40">
              <w:rPr>
                <w:rFonts w:eastAsia="Times New Roman" w:cs="Arial"/>
                <w:color w:val="000000"/>
                <w:lang w:eastAsia="pt-BR"/>
              </w:rPr>
              <w:t>d</w:t>
            </w:r>
            <w:r w:rsidR="00663427">
              <w:rPr>
                <w:rFonts w:eastAsia="Times New Roman" w:cs="Arial"/>
                <w:color w:val="000000"/>
                <w:lang w:eastAsia="pt-BR"/>
              </w:rPr>
              <w:t xml:space="preserve">o </w:t>
            </w:r>
            <w:r w:rsidR="00AE1748">
              <w:rPr>
                <w:rFonts w:eastAsia="Times New Roman" w:cs="Arial"/>
                <w:color w:val="000000"/>
                <w:lang w:eastAsia="pt-BR"/>
              </w:rPr>
              <w:t>objeto, pois considera mais adequado apontar a preferência pelo “Triângulo Central de Florianópolis”, com abertura para aceitação de propostas de terrenos de qualquer bairro da cidade</w:t>
            </w:r>
            <w:r w:rsidR="00721D22">
              <w:rPr>
                <w:rFonts w:eastAsia="Times New Roman" w:cs="Arial"/>
                <w:color w:val="000000"/>
                <w:lang w:eastAsia="pt-BR"/>
              </w:rPr>
              <w:t>, considerando a infraestrutura de mobilidade</w:t>
            </w:r>
            <w:r w:rsidR="00AE1748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90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DB4C7F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DB4C7F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Encaminhamentos relativos à criação do novo TR para aquisição de terreno para a Sede Própria.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1CE2" w:rsidRPr="00677748" w:rsidRDefault="00751CE2" w:rsidP="00751CE2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Será encaminhado para os membros da Comissão, o Termo de Referência com as alterações propostas durante a análise. </w:t>
            </w:r>
          </w:p>
        </w:tc>
      </w:tr>
    </w:tbl>
    <w:p w:rsidR="00677748" w:rsidRPr="00677748" w:rsidRDefault="00677748" w:rsidP="00677748">
      <w:pPr>
        <w:rPr>
          <w:rFonts w:eastAsia="MS Mincho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EXTRA PAUTA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1 - 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5976E5" w:rsidP="005976E5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Texto padrão para resposta ofertas de imóveis para aquisição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1CE2" w:rsidRDefault="00751CE2" w:rsidP="00751CE2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função do recebimento de algumas visitas e </w:t>
            </w:r>
            <w:r w:rsidR="0022228B">
              <w:rPr>
                <w:rFonts w:eastAsia="Times New Roman" w:cs="Arial"/>
                <w:color w:val="000000"/>
                <w:lang w:eastAsia="pt-BR"/>
              </w:rPr>
              <w:t xml:space="preserve">recebimentos </w:t>
            </w:r>
            <w:r>
              <w:rPr>
                <w:rFonts w:eastAsia="Times New Roman" w:cs="Arial"/>
                <w:color w:val="000000"/>
                <w:lang w:eastAsia="pt-BR"/>
              </w:rPr>
              <w:t>de e-mail</w:t>
            </w:r>
            <w:r w:rsidR="0022228B">
              <w:rPr>
                <w:rFonts w:eastAsia="Times New Roman" w:cs="Arial"/>
                <w:color w:val="000000"/>
                <w:lang w:eastAsia="pt-BR"/>
              </w:rPr>
              <w:t>s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com ofertas de imóveis, ou de serviço de busca de imóveis para atender ao CAU/SC, foi definido responder aos ofertantes da seguinte forma:</w:t>
            </w:r>
          </w:p>
          <w:p w:rsidR="00751CE2" w:rsidRDefault="00751CE2" w:rsidP="00751CE2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Prezado(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>a) Senhor(a),</w:t>
            </w:r>
          </w:p>
          <w:p w:rsidR="00751CE2" w:rsidRDefault="00751CE2" w:rsidP="00751CE2">
            <w:pPr>
              <w:jc w:val="both"/>
            </w:pPr>
            <w:r>
              <w:rPr>
                <w:rFonts w:eastAsia="Times New Roman" w:cs="Arial"/>
                <w:color w:val="000000"/>
                <w:lang w:eastAsia="pt-BR"/>
              </w:rPr>
              <w:t>O CAU/SC agradece seu interesse e informa que, conforme Deliberação Plenária nº 261/2018, instituiu a Comissão Temporária de Patrimônio, que tem como objetivo principal realizar estudos para viabilizar a implementação de sua nova Sede. Tais estudos compreendem várias etapas e, dentre elas, uma possível busca de imóvel para aquisição. No momento oportuno, o CAU/SC fará uma chamada pública para receber propostas dos interessados, fazendo a devida divulgação no Diário Oficial da União (DOU), em jornal de grande circulação de Santa Catarina e ainda em seu próprio site (</w:t>
            </w:r>
            <w:hyperlink r:id="rId8" w:history="1">
              <w:r>
                <w:rPr>
                  <w:rStyle w:val="Hyperlink"/>
                </w:rPr>
                <w:t>http://www.causc.gov.br/</w:t>
              </w:r>
            </w:hyperlink>
            <w:r>
              <w:t>).</w:t>
            </w:r>
          </w:p>
          <w:p w:rsidR="00751CE2" w:rsidRDefault="00751CE2" w:rsidP="00751CE2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t>Permanecemos à disposição para os esclarecimentos que se fizerem necessários.</w:t>
            </w:r>
          </w:p>
          <w:p w:rsidR="00751CE2" w:rsidRPr="00677748" w:rsidRDefault="00751CE2" w:rsidP="00751CE2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2 -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BE10E9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Alteração do Cronograma </w:t>
            </w:r>
            <w:r w:rsidR="0022228B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da CTP. 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1CE2" w:rsidRPr="00677748" w:rsidRDefault="007E7CFC" w:rsidP="00751CE2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 próxima reunião da comissão</w:t>
            </w:r>
            <w:r w:rsidR="00751CE2">
              <w:rPr>
                <w:rFonts w:eastAsia="Times New Roman" w:cs="Arial"/>
                <w:color w:val="000000"/>
                <w:lang w:eastAsia="pt-BR"/>
              </w:rPr>
              <w:t xml:space="preserve"> foi alterada para o dia 28 de junho</w:t>
            </w:r>
            <w:r w:rsidR="00345007">
              <w:rPr>
                <w:rFonts w:eastAsia="Times New Roman" w:cs="Arial"/>
                <w:color w:val="000000"/>
                <w:lang w:eastAsia="pt-BR"/>
              </w:rPr>
              <w:t xml:space="preserve"> de 2019</w:t>
            </w:r>
            <w:r w:rsidR="00751CE2">
              <w:rPr>
                <w:rFonts w:eastAsia="Times New Roman" w:cs="Arial"/>
                <w:color w:val="000000"/>
                <w:lang w:eastAsia="pt-BR"/>
              </w:rPr>
              <w:t xml:space="preserve">. 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Default="00677748" w:rsidP="00677748">
      <w:pPr>
        <w:rPr>
          <w:rFonts w:eastAsia="MS Mincho" w:cs="Arial"/>
        </w:rPr>
      </w:pPr>
    </w:p>
    <w:p w:rsidR="009E33F0" w:rsidRPr="00677748" w:rsidRDefault="009E33F0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ROSANA SILVEIRA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SILVYA HELENA CAPRARIO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Coordenadora-Adjunta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RONALDO DE LIMA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Membro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ALEXANDRE JUNCKES JACQUES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Assessor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</w:tblGrid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LARAUE POMMERENING</w:t>
            </w:r>
          </w:p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Secretária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contextualSpacing/>
        <w:jc w:val="center"/>
        <w:rPr>
          <w:rFonts w:eastAsia="Cambria" w:cs="Arial"/>
          <w:sz w:val="2"/>
          <w:szCs w:val="2"/>
        </w:rPr>
      </w:pPr>
    </w:p>
    <w:sectPr w:rsidR="00677748" w:rsidRPr="00677748" w:rsidSect="00677748">
      <w:headerReference w:type="default" r:id="rId9"/>
      <w:footerReference w:type="even" r:id="rId10"/>
      <w:footerReference w:type="default" r:id="rId11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48" w:rsidRDefault="00677748" w:rsidP="00480328">
      <w:r>
        <w:separator/>
      </w:r>
    </w:p>
  </w:endnote>
  <w:endnote w:type="continuationSeparator" w:id="0">
    <w:p w:rsidR="00677748" w:rsidRDefault="0067774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48" w:rsidRDefault="00677748" w:rsidP="00480328">
      <w:r>
        <w:separator/>
      </w:r>
    </w:p>
  </w:footnote>
  <w:footnote w:type="continuationSeparator" w:id="0">
    <w:p w:rsidR="00677748" w:rsidRDefault="0067774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FE2"/>
    <w:multiLevelType w:val="hybridMultilevel"/>
    <w:tmpl w:val="7DDCEC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48"/>
    <w:rsid w:val="000225FC"/>
    <w:rsid w:val="00041275"/>
    <w:rsid w:val="000E6DF2"/>
    <w:rsid w:val="000F559C"/>
    <w:rsid w:val="0010406A"/>
    <w:rsid w:val="00143CB8"/>
    <w:rsid w:val="00150B40"/>
    <w:rsid w:val="001848AD"/>
    <w:rsid w:val="00190120"/>
    <w:rsid w:val="001F745C"/>
    <w:rsid w:val="0022228B"/>
    <w:rsid w:val="00224F00"/>
    <w:rsid w:val="0024303B"/>
    <w:rsid w:val="00250AFB"/>
    <w:rsid w:val="00262CE1"/>
    <w:rsid w:val="002B77F5"/>
    <w:rsid w:val="00315991"/>
    <w:rsid w:val="00345007"/>
    <w:rsid w:val="003511F2"/>
    <w:rsid w:val="00357C1F"/>
    <w:rsid w:val="003B4522"/>
    <w:rsid w:val="003D7019"/>
    <w:rsid w:val="00425319"/>
    <w:rsid w:val="00460DCF"/>
    <w:rsid w:val="00463EE1"/>
    <w:rsid w:val="00465987"/>
    <w:rsid w:val="00480328"/>
    <w:rsid w:val="00510668"/>
    <w:rsid w:val="005373F9"/>
    <w:rsid w:val="005465A4"/>
    <w:rsid w:val="00561A66"/>
    <w:rsid w:val="00586BCC"/>
    <w:rsid w:val="005976E5"/>
    <w:rsid w:val="005F4DCE"/>
    <w:rsid w:val="006356A0"/>
    <w:rsid w:val="00663427"/>
    <w:rsid w:val="00677748"/>
    <w:rsid w:val="00721D22"/>
    <w:rsid w:val="007269C9"/>
    <w:rsid w:val="0074184B"/>
    <w:rsid w:val="00751CE2"/>
    <w:rsid w:val="007546FB"/>
    <w:rsid w:val="007958CB"/>
    <w:rsid w:val="007B14D6"/>
    <w:rsid w:val="007E7CFC"/>
    <w:rsid w:val="008348F1"/>
    <w:rsid w:val="00952B80"/>
    <w:rsid w:val="009716F1"/>
    <w:rsid w:val="00991C98"/>
    <w:rsid w:val="009A0FCE"/>
    <w:rsid w:val="009D0393"/>
    <w:rsid w:val="009E33F0"/>
    <w:rsid w:val="00A050DA"/>
    <w:rsid w:val="00A8587A"/>
    <w:rsid w:val="00A92365"/>
    <w:rsid w:val="00AB7DC3"/>
    <w:rsid w:val="00AE1748"/>
    <w:rsid w:val="00B90E21"/>
    <w:rsid w:val="00BE10E9"/>
    <w:rsid w:val="00BE1907"/>
    <w:rsid w:val="00BF546C"/>
    <w:rsid w:val="00C13A64"/>
    <w:rsid w:val="00C278E8"/>
    <w:rsid w:val="00C27E1C"/>
    <w:rsid w:val="00C930D5"/>
    <w:rsid w:val="00C9364D"/>
    <w:rsid w:val="00CA6BED"/>
    <w:rsid w:val="00D24FCD"/>
    <w:rsid w:val="00D36482"/>
    <w:rsid w:val="00D365A4"/>
    <w:rsid w:val="00D40727"/>
    <w:rsid w:val="00DB44C9"/>
    <w:rsid w:val="00DB4C7F"/>
    <w:rsid w:val="00E24E98"/>
    <w:rsid w:val="00E761A5"/>
    <w:rsid w:val="00ED29BE"/>
    <w:rsid w:val="00F024BD"/>
    <w:rsid w:val="00F833B1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7B3316"/>
  <w15:chartTrackingRefBased/>
  <w15:docId w15:val="{060ED045-34F9-48AD-8A23-89E66F5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5C"/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67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0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&#225;rios\Papel%20Timbrado\Folha%20timbrada%202018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EDE6-0C5E-4731-AA4D-87EC218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2018</Template>
  <TotalTime>516</TotalTime>
  <Pages>3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Junckes Jacques</dc:creator>
  <cp:keywords/>
  <cp:lastModifiedBy>Alexandre Junckes Jacques</cp:lastModifiedBy>
  <cp:revision>42</cp:revision>
  <cp:lastPrinted>2019-06-28T12:41:00Z</cp:lastPrinted>
  <dcterms:created xsi:type="dcterms:W3CDTF">2019-05-29T14:23:00Z</dcterms:created>
  <dcterms:modified xsi:type="dcterms:W3CDTF">2019-06-28T12:49:00Z</dcterms:modified>
</cp:coreProperties>
</file>