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002928" w:rsidTr="008D0C37">
        <w:trPr>
          <w:trHeight w:val="1191"/>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8D0C37" w:rsidRDefault="00E14245" w:rsidP="00E14245">
            <w:pPr>
              <w:rPr>
                <w:rFonts w:ascii="Arial" w:eastAsia="Times New Roman" w:hAnsi="Arial" w:cs="Arial"/>
                <w:b/>
                <w:color w:val="000000"/>
                <w:sz w:val="20"/>
                <w:lang w:eastAsia="pt-BR"/>
              </w:rPr>
            </w:pPr>
            <w:r w:rsidRPr="008D0C37">
              <w:rPr>
                <w:rFonts w:ascii="Arial" w:eastAsia="Times New Roman" w:hAnsi="Arial" w:cs="Arial"/>
                <w:b/>
                <w:color w:val="000000"/>
                <w:sz w:val="20"/>
                <w:lang w:eastAsia="pt-BR"/>
              </w:rPr>
              <w:t>PROCESSO</w:t>
            </w:r>
          </w:p>
        </w:tc>
        <w:tc>
          <w:tcPr>
            <w:tcW w:w="7298" w:type="dxa"/>
            <w:tcBorders>
              <w:top w:val="single" w:sz="4" w:space="0" w:color="auto"/>
              <w:left w:val="nil"/>
              <w:bottom w:val="single" w:sz="4" w:space="0" w:color="auto"/>
              <w:right w:val="nil"/>
            </w:tcBorders>
            <w:shd w:val="clear" w:color="auto" w:fill="auto"/>
            <w:noWrap/>
            <w:vAlign w:val="center"/>
          </w:tcPr>
          <w:p w:rsidR="0088794C" w:rsidRPr="00ED0087" w:rsidRDefault="00ED0087" w:rsidP="00AE3733">
            <w:pPr>
              <w:spacing w:after="160" w:line="259" w:lineRule="auto"/>
              <w:rPr>
                <w:rFonts w:ascii="Arial" w:eastAsia="Times New Roman" w:hAnsi="Arial" w:cs="Arial"/>
                <w:color w:val="000000"/>
                <w:sz w:val="20"/>
                <w:szCs w:val="20"/>
                <w:lang w:eastAsia="pt-BR"/>
              </w:rPr>
            </w:pPr>
            <w:r w:rsidRPr="00ED0087">
              <w:rPr>
                <w:rFonts w:ascii="Arial" w:eastAsia="Times New Roman" w:hAnsi="Arial" w:cs="Arial"/>
                <w:color w:val="000000"/>
                <w:sz w:val="20"/>
                <w:szCs w:val="20"/>
                <w:lang w:eastAsia="pt-BR"/>
              </w:rPr>
              <w:t>1126535/2020, 1139658/2020, 1140945/2020, 1141100/2020, 1142951/2020, 1143442/2020, 1143502/2020, 1146272/2020, 1146830/2020, 1146864/2020, 1146924/2020, 1147895/2020, 1149299/2020, 1149315/2020, 1149887/2020, 1151709/2020, 1151813/2020, 1152251/2020, 1152696/2020, 1152964/2020, 1154247/2020, 1154386/2020, 1154442/2020, 1154736/2020</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BE5F44" w:rsidP="00ED0087">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ED0087">
              <w:rPr>
                <w:rFonts w:ascii="Arial" w:hAnsi="Arial" w:cs="Arial"/>
                <w:b/>
              </w:rPr>
              <w:t>24</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rsidTr="008D0C37">
        <w:trPr>
          <w:trHeight w:val="120"/>
        </w:trPr>
        <w:tc>
          <w:tcPr>
            <w:tcW w:w="1752" w:type="dxa"/>
            <w:tcBorders>
              <w:top w:val="nil"/>
              <w:left w:val="nil"/>
              <w:bottom w:val="nil"/>
              <w:right w:val="nil"/>
            </w:tcBorders>
            <w:shd w:val="clear" w:color="auto" w:fill="auto"/>
            <w:noWrap/>
            <w:vAlign w:val="bottom"/>
            <w:hideMark/>
          </w:tcPr>
          <w:p w:rsidR="00E14245" w:rsidRPr="00002928"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rsidR="00E14245" w:rsidRPr="00002928" w:rsidRDefault="00E14245" w:rsidP="00E14245">
            <w:pPr>
              <w:rPr>
                <w:rFonts w:ascii="Arial" w:hAnsi="Arial" w:cs="Arial"/>
              </w:rPr>
            </w:pPr>
          </w:p>
        </w:tc>
      </w:tr>
      <w:tr w:rsidR="00E14245" w:rsidRPr="00002928"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rsidR="00E14245" w:rsidRPr="00002928" w:rsidRDefault="00E14245" w:rsidP="002707FC">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2707FC">
              <w:rPr>
                <w:rFonts w:ascii="Arial" w:eastAsia="Times New Roman" w:hAnsi="Arial" w:cs="Arial"/>
                <w:b/>
                <w:color w:val="000000"/>
                <w:lang w:eastAsia="pt-BR"/>
              </w:rPr>
              <w:t>55</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rsidR="00002928" w:rsidRPr="00002928" w:rsidRDefault="00002928" w:rsidP="008D0C37">
      <w:pPr>
        <w:spacing w:before="80" w:after="80"/>
        <w:jc w:val="both"/>
        <w:rPr>
          <w:rFonts w:ascii="Arial" w:hAnsi="Arial" w:cs="Arial"/>
        </w:rPr>
      </w:pPr>
      <w:r w:rsidRPr="00002928">
        <w:rPr>
          <w:rFonts w:ascii="Arial" w:hAnsi="Arial" w:cs="Arial"/>
        </w:rPr>
        <w:t xml:space="preserve">A COMISSÃO DE ENSINO E FORMAÇÃO – CEF-CAU/SC, reunida ordinariamente no dia </w:t>
      </w:r>
      <w:r w:rsidR="007D0884">
        <w:rPr>
          <w:rFonts w:ascii="Arial" w:hAnsi="Arial" w:cs="Arial"/>
        </w:rPr>
        <w:t>2</w:t>
      </w:r>
      <w:r w:rsidR="00ED0087">
        <w:rPr>
          <w:rFonts w:ascii="Arial" w:hAnsi="Arial" w:cs="Arial"/>
        </w:rPr>
        <w:t>6</w:t>
      </w:r>
      <w:r w:rsidRPr="00002928">
        <w:rPr>
          <w:rFonts w:ascii="Arial" w:hAnsi="Arial" w:cs="Arial"/>
        </w:rPr>
        <w:t xml:space="preserve"> de </w:t>
      </w:r>
      <w:r w:rsidR="00ED0087">
        <w:rPr>
          <w:rFonts w:ascii="Arial" w:hAnsi="Arial" w:cs="Arial"/>
        </w:rPr>
        <w:t>agosto</w:t>
      </w:r>
      <w:r w:rsidRPr="00002928">
        <w:rPr>
          <w:rFonts w:ascii="Arial" w:hAnsi="Arial" w:cs="Arial"/>
        </w:rPr>
        <w:t xml:space="preserve"> de 2020, com participação virtual (à distância) dos (as) conselheiros (as), nos termos do item 4 da Deliberação Plenária nº 489, de 17 de abril de 2020, c/</w:t>
      </w:r>
      <w:proofErr w:type="gramStart"/>
      <w:r w:rsidRPr="00002928">
        <w:rPr>
          <w:rFonts w:ascii="Arial" w:hAnsi="Arial" w:cs="Arial"/>
        </w:rPr>
        <w:t>c</w:t>
      </w:r>
      <w:proofErr w:type="gramEnd"/>
      <w:r w:rsidRPr="00002928">
        <w:rPr>
          <w:rFonts w:ascii="Arial" w:hAnsi="Arial" w:cs="Arial"/>
        </w:rPr>
        <w:t xml:space="preserve">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rsidR="00E71EA1" w:rsidRPr="00002928" w:rsidRDefault="00E71EA1" w:rsidP="008D0C37">
      <w:pPr>
        <w:spacing w:before="80" w:after="80"/>
        <w:jc w:val="both"/>
        <w:rPr>
          <w:rFonts w:ascii="Arial" w:hAnsi="Arial" w:cs="Arial"/>
        </w:rPr>
      </w:pPr>
      <w:r w:rsidRPr="00002928">
        <w:rPr>
          <w:rFonts w:ascii="Arial" w:hAnsi="Arial" w:cs="Arial"/>
        </w:rPr>
        <w:t>Considerando a Resolução n°18 do CAU/BR e as alterações dadas pelas Resoluções n°32, n°83, n°85, n°121, n°132;</w:t>
      </w:r>
    </w:p>
    <w:p w:rsidR="00E71EA1" w:rsidRPr="00002928" w:rsidRDefault="00E71EA1" w:rsidP="008D0C37">
      <w:pPr>
        <w:spacing w:before="80" w:after="8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rsidR="00E71EA1" w:rsidRPr="00002928" w:rsidRDefault="00E71EA1" w:rsidP="008D0C37">
      <w:pPr>
        <w:spacing w:before="80" w:after="8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rsidR="00F35EFD" w:rsidRPr="00002928" w:rsidRDefault="00E14245" w:rsidP="00ED0087">
      <w:pPr>
        <w:spacing w:before="120" w:after="120"/>
        <w:jc w:val="both"/>
        <w:rPr>
          <w:rFonts w:ascii="Arial" w:hAnsi="Arial" w:cs="Arial"/>
          <w:b/>
        </w:rPr>
      </w:pPr>
      <w:r w:rsidRPr="00002928">
        <w:rPr>
          <w:rFonts w:ascii="Arial" w:hAnsi="Arial" w:cs="Arial"/>
          <w:b/>
        </w:rPr>
        <w:t xml:space="preserve">DELIBERA: </w:t>
      </w:r>
    </w:p>
    <w:p w:rsidR="00430C7F" w:rsidRPr="000851EA" w:rsidRDefault="00E71EA1" w:rsidP="00430C7F">
      <w:pPr>
        <w:jc w:val="both"/>
        <w:rPr>
          <w:rFonts w:ascii="Arial" w:hAnsi="Arial" w:cs="Arial"/>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ED0087" w:rsidRPr="00ED0087">
        <w:rPr>
          <w:rFonts w:ascii="Arial" w:hAnsi="Arial" w:cs="Arial"/>
          <w:sz w:val="19"/>
          <w:szCs w:val="19"/>
        </w:rPr>
        <w:t>ALAN NUNES AMARAL, ALAN PINHEIRO ALFLEN, ALEXANDRE KEMPINSKY, AMANDA CAROLINE OLIVEIRA, ANA CLAUDIALUCAS, ANA JULIA MEYER KLEBA, BEATRIS DE BEM CARDOSO, BEATRIZ CRISTINA VALENTINI GRIGORIO, DANELISE CRISTINA DA SILVA, DIEGO DA SILVA, FABIELLE DE FATIMA RIZZARDI DE OLIVEIRA SOARES, GABRIEL DE MORAES LUNARDI, GABRIELA DE MEDEIROS BARRETO, GILMAR PEREIRA DA SILVA, HÉLLEN SAMARA FARIAS, INGRID SAMULAK ALVES, IRIS KETLYN DE OLIVEIRA, JAQUELINE VARGAS, KELLY LUANA MICHALOWICZ, NATHALIA BAMBINETTI, NATHALIA CRISTINA PROVIN SOARES, SAMANTHA MORALES MACIEL, TAÍS SOARES DA SILVA</w:t>
      </w:r>
      <w:r w:rsidR="00F17940">
        <w:rPr>
          <w:rFonts w:ascii="Arial" w:hAnsi="Arial" w:cs="Arial"/>
          <w:sz w:val="19"/>
          <w:szCs w:val="19"/>
        </w:rPr>
        <w:t xml:space="preserve"> e</w:t>
      </w:r>
      <w:r w:rsidR="00ED0087" w:rsidRPr="00ED0087">
        <w:rPr>
          <w:rFonts w:ascii="Arial" w:hAnsi="Arial" w:cs="Arial"/>
          <w:sz w:val="19"/>
          <w:szCs w:val="19"/>
        </w:rPr>
        <w:t xml:space="preserve"> VITOR HUGO MARTINELLI</w:t>
      </w:r>
      <w:r w:rsidR="003A6FC3" w:rsidRPr="00ED0087">
        <w:rPr>
          <w:rFonts w:ascii="Arial" w:hAnsi="Arial" w:cs="Arial"/>
          <w:sz w:val="19"/>
          <w:szCs w:val="19"/>
        </w:rPr>
        <w:t>.</w:t>
      </w:r>
    </w:p>
    <w:p w:rsidR="002958B5" w:rsidRPr="00002928" w:rsidRDefault="002958B5" w:rsidP="008D0C37">
      <w:pPr>
        <w:spacing w:before="80" w:after="80"/>
        <w:jc w:val="both"/>
        <w:rPr>
          <w:rFonts w:ascii="Arial" w:hAnsi="Arial" w:cs="Arial"/>
        </w:rPr>
      </w:pPr>
      <w:r w:rsidRPr="00002928">
        <w:rPr>
          <w:rFonts w:ascii="Arial" w:hAnsi="Arial" w:cs="Arial"/>
        </w:rPr>
        <w:t>2 - Encaminhar esta deliberação à Presidência do CAU/SC para providências cabíveis.</w:t>
      </w:r>
    </w:p>
    <w:p w:rsidR="00002928" w:rsidRPr="00002928" w:rsidRDefault="00002928" w:rsidP="00002928">
      <w:pPr>
        <w:autoSpaceDE w:val="0"/>
        <w:autoSpaceDN w:val="0"/>
        <w:adjustRightInd w:val="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Valesca Menezes Marques </w:t>
      </w:r>
      <w:r w:rsidRPr="00002928">
        <w:rPr>
          <w:rFonts w:ascii="Arial" w:hAnsi="Arial" w:cs="Arial"/>
          <w:b/>
        </w:rPr>
        <w:t xml:space="preserve">(zero) votos contrários; 0 (zero) abstenções e 0 (zero) ausências.  </w:t>
      </w:r>
    </w:p>
    <w:p w:rsidR="008D0C37" w:rsidRDefault="008D0C37" w:rsidP="00002928">
      <w:pPr>
        <w:autoSpaceDE w:val="0"/>
        <w:autoSpaceDN w:val="0"/>
        <w:adjustRightInd w:val="0"/>
        <w:jc w:val="right"/>
        <w:rPr>
          <w:rFonts w:ascii="Arial" w:hAnsi="Arial" w:cs="Arial"/>
        </w:rPr>
      </w:pPr>
    </w:p>
    <w:p w:rsidR="00002928" w:rsidRDefault="00002928" w:rsidP="00002928">
      <w:pPr>
        <w:autoSpaceDE w:val="0"/>
        <w:autoSpaceDN w:val="0"/>
        <w:adjustRightInd w:val="0"/>
        <w:jc w:val="center"/>
        <w:rPr>
          <w:rFonts w:ascii="Arial" w:hAnsi="Arial" w:cs="Arial"/>
        </w:rPr>
      </w:pPr>
    </w:p>
    <w:p w:rsidR="00ED0087" w:rsidRPr="00002928" w:rsidRDefault="00ED0087" w:rsidP="00002928">
      <w:pPr>
        <w:autoSpaceDE w:val="0"/>
        <w:autoSpaceDN w:val="0"/>
        <w:adjustRightInd w:val="0"/>
        <w:jc w:val="center"/>
        <w:rPr>
          <w:rFonts w:ascii="Arial" w:hAnsi="Arial" w:cs="Arial"/>
        </w:rPr>
      </w:pPr>
    </w:p>
    <w:p w:rsidR="00002928" w:rsidRPr="00002928" w:rsidRDefault="00002928" w:rsidP="001D080E">
      <w:pPr>
        <w:autoSpaceDE w:val="0"/>
        <w:autoSpaceDN w:val="0"/>
        <w:adjustRightInd w:val="0"/>
        <w:spacing w:after="12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___________________</w:t>
      </w:r>
      <w:r w:rsidR="001D080E">
        <w:rPr>
          <w:rFonts w:ascii="Arial" w:hAnsi="Arial" w:cs="Arial"/>
        </w:rPr>
        <w:t>_____</w:t>
      </w:r>
      <w:r w:rsidRPr="00002928">
        <w:rPr>
          <w:rFonts w:ascii="Arial" w:hAnsi="Arial" w:cs="Arial"/>
        </w:rPr>
        <w:t>_________________</w:t>
      </w: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Antonio Couto Nunes</w:t>
      </w:r>
    </w:p>
    <w:p w:rsidR="00002928" w:rsidRDefault="00002928" w:rsidP="00002928">
      <w:pPr>
        <w:autoSpaceDE w:val="0"/>
        <w:autoSpaceDN w:val="0"/>
        <w:adjustRightInd w:val="0"/>
        <w:jc w:val="center"/>
        <w:rPr>
          <w:rFonts w:ascii="Arial" w:hAnsi="Arial" w:cs="Arial"/>
        </w:rPr>
      </w:pPr>
      <w:r w:rsidRPr="00002928">
        <w:rPr>
          <w:rFonts w:ascii="Arial" w:hAnsi="Arial" w:cs="Arial"/>
        </w:rPr>
        <w:lastRenderedPageBreak/>
        <w:t>Assessor Especial da Presidência</w:t>
      </w: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ED0087" w:rsidRDefault="00ED0087" w:rsidP="00002928">
      <w:pPr>
        <w:autoSpaceDE w:val="0"/>
        <w:autoSpaceDN w:val="0"/>
        <w:adjustRightInd w:val="0"/>
        <w:jc w:val="center"/>
        <w:rPr>
          <w:rFonts w:ascii="Arial" w:hAnsi="Arial" w:cs="Arial"/>
        </w:rPr>
      </w:pPr>
    </w:p>
    <w:p w:rsidR="00002928" w:rsidRPr="00002928" w:rsidRDefault="00ED0087"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8</w:t>
      </w:r>
      <w:r w:rsidR="009E0003">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Silvana Maria Hall (coordenadora adjunta)</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ED0087">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ED0087">
              <w:rPr>
                <w:rFonts w:ascii="Arial" w:eastAsia="Cambria" w:hAnsi="Arial" w:cs="Arial"/>
              </w:rPr>
              <w:t>8</w:t>
            </w:r>
            <w:r w:rsidR="009E0003" w:rsidRPr="009E0003">
              <w:rPr>
                <w:rFonts w:ascii="Arial" w:eastAsia="Cambria" w:hAnsi="Arial" w:cs="Arial"/>
              </w:rPr>
              <w:t>.</w:t>
            </w:r>
            <w:r w:rsidRPr="00002928">
              <w:rPr>
                <w:rFonts w:ascii="Arial" w:eastAsia="Cambria" w:hAnsi="Arial" w:cs="Arial"/>
              </w:rPr>
              <w:t>ª Reunião Ordinária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0851EA">
              <w:rPr>
                <w:rFonts w:ascii="Arial" w:eastAsia="Cambria" w:hAnsi="Arial" w:cs="Arial"/>
              </w:rPr>
              <w:t>2</w:t>
            </w:r>
            <w:r w:rsidR="00ED0087">
              <w:rPr>
                <w:rFonts w:ascii="Arial" w:eastAsia="Cambria" w:hAnsi="Arial" w:cs="Arial"/>
              </w:rPr>
              <w:t>6</w:t>
            </w:r>
            <w:r w:rsidRPr="00002928">
              <w:rPr>
                <w:rFonts w:ascii="Arial" w:eastAsia="Cambria" w:hAnsi="Arial" w:cs="Arial"/>
              </w:rPr>
              <w:t>/</w:t>
            </w:r>
            <w:r w:rsidR="000851EA">
              <w:rPr>
                <w:rFonts w:ascii="Arial" w:eastAsia="Cambria" w:hAnsi="Arial" w:cs="Arial"/>
              </w:rPr>
              <w:t>0</w:t>
            </w:r>
            <w:r w:rsidR="00ED0087">
              <w:rPr>
                <w:rFonts w:ascii="Arial" w:eastAsia="Cambria" w:hAnsi="Arial" w:cs="Arial"/>
              </w:rPr>
              <w:t>8</w:t>
            </w:r>
            <w:r w:rsidRPr="00002928">
              <w:rPr>
                <w:rFonts w:ascii="Arial" w:eastAsia="Cambria" w:hAnsi="Arial" w:cs="Arial"/>
              </w:rPr>
              <w:t>/2020</w:t>
            </w:r>
          </w:p>
          <w:p w:rsidR="00002928" w:rsidRPr="00002928" w:rsidRDefault="00002928" w:rsidP="00ED0087">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ED0087">
              <w:rPr>
                <w:rFonts w:ascii="Arial" w:eastAsia="Times New Roman" w:hAnsi="Arial" w:cs="Arial"/>
                <w:color w:val="000000"/>
                <w:lang w:eastAsia="pt-BR"/>
              </w:rPr>
              <w:t>24</w:t>
            </w:r>
            <w:r w:rsidRPr="00002928">
              <w:rPr>
                <w:rFonts w:ascii="Arial" w:eastAsia="Times New Roman" w:hAnsi="Arial" w:cs="Arial"/>
                <w:color w:val="000000"/>
                <w:lang w:eastAsia="pt-BR"/>
              </w:rPr>
              <w:t xml:space="preserve"> Registros Profissionais em caráter PROVISÓRIO</w:t>
            </w:r>
          </w:p>
        </w:tc>
      </w:tr>
      <w:tr w:rsidR="00002928" w:rsidRPr="00002928" w:rsidTr="00B47CA6">
        <w:trPr>
          <w:trHeight w:val="277"/>
        </w:trPr>
        <w:tc>
          <w:tcPr>
            <w:tcW w:w="9060" w:type="dxa"/>
            <w:gridSpan w:val="2"/>
            <w:shd w:val="clear" w:color="auto" w:fill="D9D9D9"/>
          </w:tcPr>
          <w:p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002928" w:rsidRDefault="00002928" w:rsidP="002707FC">
            <w:pPr>
              <w:tabs>
                <w:tab w:val="left" w:pos="1418"/>
              </w:tabs>
              <w:rPr>
                <w:rFonts w:ascii="Arial" w:eastAsia="Cambria" w:hAnsi="Arial" w:cs="Arial"/>
              </w:rPr>
            </w:pPr>
            <w:r w:rsidRPr="00002928">
              <w:rPr>
                <w:rFonts w:ascii="Arial" w:eastAsia="Cambria" w:hAnsi="Arial" w:cs="Arial"/>
                <w:b/>
              </w:rPr>
              <w:t xml:space="preserve">Secretário da Reunião: </w:t>
            </w:r>
            <w:r w:rsidR="002707FC">
              <w:rPr>
                <w:rFonts w:ascii="Arial" w:eastAsia="Cambria" w:hAnsi="Arial" w:cs="Arial"/>
              </w:rPr>
              <w:t>Fernando Volkmer</w:t>
            </w:r>
            <w:bookmarkStart w:id="0" w:name="_GoBack"/>
            <w:bookmarkEnd w:id="0"/>
          </w:p>
        </w:tc>
        <w:tc>
          <w:tcPr>
            <w:tcW w:w="4530" w:type="dxa"/>
            <w:shd w:val="clear" w:color="auto" w:fill="D9D9D9"/>
          </w:tcPr>
          <w:p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rsidR="00002928" w:rsidRPr="00002928" w:rsidRDefault="00002928" w:rsidP="00002928">
      <w:pPr>
        <w:jc w:val="both"/>
        <w:rPr>
          <w:rFonts w:ascii="Arial" w:hAnsi="Arial" w:cs="Arial"/>
        </w:rPr>
      </w:pPr>
    </w:p>
    <w:p w:rsidR="00002928" w:rsidRPr="00002928" w:rsidRDefault="00002928" w:rsidP="00002928"/>
    <w:p w:rsidR="00002928" w:rsidRPr="00002928" w:rsidRDefault="00002928" w:rsidP="00002928">
      <w:pPr>
        <w:jc w:val="both"/>
        <w:rPr>
          <w:rFonts w:ascii="Arial" w:hAnsi="Arial" w:cs="Arial"/>
        </w:rPr>
      </w:pPr>
    </w:p>
    <w:p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851EA"/>
    <w:rsid w:val="00097731"/>
    <w:rsid w:val="000C2CD9"/>
    <w:rsid w:val="000E1EA5"/>
    <w:rsid w:val="000E2CCA"/>
    <w:rsid w:val="000E6DF2"/>
    <w:rsid w:val="000F559C"/>
    <w:rsid w:val="00143CB8"/>
    <w:rsid w:val="0015428F"/>
    <w:rsid w:val="0018251D"/>
    <w:rsid w:val="001848AD"/>
    <w:rsid w:val="00190120"/>
    <w:rsid w:val="00190F8A"/>
    <w:rsid w:val="001B42E4"/>
    <w:rsid w:val="001D080E"/>
    <w:rsid w:val="00224F00"/>
    <w:rsid w:val="0024303B"/>
    <w:rsid w:val="00245E76"/>
    <w:rsid w:val="002707FC"/>
    <w:rsid w:val="00290704"/>
    <w:rsid w:val="002958B5"/>
    <w:rsid w:val="002E7E08"/>
    <w:rsid w:val="003117D2"/>
    <w:rsid w:val="00320C2C"/>
    <w:rsid w:val="003350AC"/>
    <w:rsid w:val="00336A0D"/>
    <w:rsid w:val="00345500"/>
    <w:rsid w:val="0035203A"/>
    <w:rsid w:val="003A6FC3"/>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7AE8"/>
    <w:rsid w:val="00782508"/>
    <w:rsid w:val="007B14D6"/>
    <w:rsid w:val="007D0884"/>
    <w:rsid w:val="007E0D6B"/>
    <w:rsid w:val="007F2D35"/>
    <w:rsid w:val="008348F1"/>
    <w:rsid w:val="0084466D"/>
    <w:rsid w:val="0084748C"/>
    <w:rsid w:val="0088794C"/>
    <w:rsid w:val="00897D77"/>
    <w:rsid w:val="008B46A0"/>
    <w:rsid w:val="008C6348"/>
    <w:rsid w:val="008D0C37"/>
    <w:rsid w:val="00913694"/>
    <w:rsid w:val="0092346F"/>
    <w:rsid w:val="00952B80"/>
    <w:rsid w:val="009716F1"/>
    <w:rsid w:val="00972843"/>
    <w:rsid w:val="009819ED"/>
    <w:rsid w:val="00991C98"/>
    <w:rsid w:val="009972B4"/>
    <w:rsid w:val="009A1D05"/>
    <w:rsid w:val="009A2B8E"/>
    <w:rsid w:val="009B0769"/>
    <w:rsid w:val="009D0393"/>
    <w:rsid w:val="009E0003"/>
    <w:rsid w:val="009F0997"/>
    <w:rsid w:val="00A044CD"/>
    <w:rsid w:val="00A5035F"/>
    <w:rsid w:val="00A91CF5"/>
    <w:rsid w:val="00AC1F0B"/>
    <w:rsid w:val="00AE3733"/>
    <w:rsid w:val="00AF6D81"/>
    <w:rsid w:val="00B160E8"/>
    <w:rsid w:val="00B279E2"/>
    <w:rsid w:val="00B41DF9"/>
    <w:rsid w:val="00B55780"/>
    <w:rsid w:val="00B82FCB"/>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0087"/>
    <w:rsid w:val="00ED3F80"/>
    <w:rsid w:val="00EF7360"/>
    <w:rsid w:val="00F1794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F538989"/>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1FB6-CC2F-4FC4-9866-57AA5955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3</cp:revision>
  <cp:lastPrinted>2019-06-03T13:41:00Z</cp:lastPrinted>
  <dcterms:created xsi:type="dcterms:W3CDTF">2020-08-26T13:12:00Z</dcterms:created>
  <dcterms:modified xsi:type="dcterms:W3CDTF">2020-08-26T13:13:00Z</dcterms:modified>
</cp:coreProperties>
</file>