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195"/>
        <w:gridCol w:w="146"/>
      </w:tblGrid>
      <w:tr w:rsidR="00E92447" w:rsidRPr="00B60D11" w:rsidTr="00E92447">
        <w:trPr>
          <w:trHeight w:val="300"/>
        </w:trPr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2447" w:rsidRPr="00237776" w:rsidRDefault="00527011" w:rsidP="00C0319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 w:rsidRPr="00527011">
              <w:rPr>
                <w:rFonts w:ascii="Arial" w:hAnsi="Arial" w:cs="Arial"/>
                <w:color w:val="000000"/>
                <w:sz w:val="20"/>
                <w:szCs w:val="20"/>
              </w:rPr>
              <w:t xml:space="preserve">872856/2020,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527011">
              <w:rPr>
                <w:rFonts w:ascii="Arial" w:hAnsi="Arial" w:cs="Arial"/>
                <w:color w:val="000000"/>
                <w:sz w:val="20"/>
                <w:szCs w:val="20"/>
              </w:rPr>
              <w:t xml:space="preserve">154010/2020, 1155332/2020, 1155404/2020, 1155637/2020, 1155671/2020, 1155738/2020, 1155984/2020, 1156031/2020, 1156078/2020, 1156181/2020, 1156252/2020, 1156273/2020, 1156283/2020, 1156568/2020, 1156678/2020, 1156707/2020, 1156856/2020, 1156937/2020, 1156969/2020, 1157019/2020, 1157225/2020, 1157487/2020, 1157499/2020, 1157581/2020, 1157627/2020, 1158282/2020, 1158329/2020, 1158371/2020, 1159464/2020, 1160853/2020, 1160972/2020, 1161004/2020, 1161217/2020, 1161300/2020, 1161307/2020, 1161486/2020, 1161564/2020, 1161926/2020, 1161943/2020, 1161967/2020, 1162683/2020, 1163897/2020, 1164175/2020, 1167924/2020, 1168083/2020, 1168367/2020, 1168855/2020, 1171324/2020, 1171460/2020, 1171519/2020, 1171550/2020, 1171583/2020, 1171647/2020, 1171792/2020, 1171826/2020, 1171839/2020, 1172074/2020, 1172375/2020, 1172589/2020, 1172629/2020, 1174111/2020, </w:t>
            </w:r>
            <w:r w:rsidR="00237776">
              <w:rPr>
                <w:rFonts w:ascii="Calibri" w:hAnsi="Calibri" w:cs="Calibri"/>
                <w:color w:val="000000"/>
              </w:rPr>
              <w:t xml:space="preserve">1174841/2020, </w:t>
            </w:r>
            <w:r w:rsidRPr="00527011">
              <w:rPr>
                <w:rFonts w:ascii="Arial" w:hAnsi="Arial" w:cs="Arial"/>
                <w:color w:val="000000"/>
                <w:sz w:val="20"/>
                <w:szCs w:val="20"/>
              </w:rPr>
              <w:t xml:space="preserve">1174988/2020, 1175047/2020, 1175067/2020 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447" w:rsidRPr="00E92447" w:rsidRDefault="00E92447" w:rsidP="00C031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B60D11">
              <w:rPr>
                <w:rFonts w:ascii="Arial" w:hAnsi="Arial" w:cs="Arial"/>
              </w:rPr>
              <w:t>GERTEC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7" w:rsidRPr="00B60D11" w:rsidRDefault="00E92447" w:rsidP="00BE5F44">
            <w:pPr>
              <w:rPr>
                <w:rFonts w:ascii="Arial" w:hAnsi="Arial" w:cs="Arial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527011">
            <w:pPr>
              <w:rPr>
                <w:rFonts w:ascii="Arial" w:hAnsi="Arial" w:cs="Arial"/>
              </w:rPr>
            </w:pPr>
            <w:r w:rsidRPr="00B60D11">
              <w:rPr>
                <w:rFonts w:ascii="Arial" w:hAnsi="Arial" w:cs="Arial"/>
              </w:rPr>
              <w:t xml:space="preserve">Homologação de </w:t>
            </w:r>
            <w:r w:rsidR="00527011">
              <w:rPr>
                <w:rFonts w:ascii="Arial" w:hAnsi="Arial" w:cs="Arial"/>
                <w:b/>
              </w:rPr>
              <w:t>66</w:t>
            </w:r>
            <w:r w:rsidRPr="00B60D11">
              <w:rPr>
                <w:rFonts w:ascii="Arial" w:hAnsi="Arial" w:cs="Arial"/>
                <w:b/>
              </w:rPr>
              <w:t xml:space="preserve"> </w:t>
            </w:r>
            <w:r w:rsidRPr="00B60D11">
              <w:rPr>
                <w:rFonts w:ascii="Arial" w:hAnsi="Arial" w:cs="Arial"/>
              </w:rPr>
              <w:t xml:space="preserve">Registros Profissionais em caráter </w:t>
            </w:r>
            <w:r w:rsidRPr="00B60D11">
              <w:rPr>
                <w:rFonts w:ascii="Arial" w:hAnsi="Arial" w:cs="Arial"/>
                <w:b/>
              </w:rPr>
              <w:t>DEFINITIVO</w:t>
            </w:r>
            <w:r w:rsidRPr="00B60D11">
              <w:rPr>
                <w:rFonts w:ascii="Arial" w:hAnsi="Arial" w:cs="Arial"/>
              </w:rPr>
              <w:t>.</w:t>
            </w:r>
          </w:p>
        </w:tc>
        <w:tc>
          <w:tcPr>
            <w:tcW w:w="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447" w:rsidRPr="00B60D11" w:rsidRDefault="00E92447" w:rsidP="00E92447">
            <w:pPr>
              <w:rPr>
                <w:rFonts w:ascii="Arial" w:hAnsi="Arial" w:cs="Arial"/>
              </w:rPr>
            </w:pPr>
          </w:p>
        </w:tc>
      </w:tr>
      <w:tr w:rsidR="00E92447" w:rsidRPr="00B60D11" w:rsidTr="00E92447">
        <w:trPr>
          <w:trHeight w:val="120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E14245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pt-BR"/>
              </w:rPr>
            </w:pPr>
          </w:p>
        </w:tc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2447" w:rsidRPr="00B60D11" w:rsidRDefault="00E92447" w:rsidP="00E1424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</w:tcPr>
          <w:p w:rsidR="00E92447" w:rsidRPr="00B60D11" w:rsidRDefault="00E92447" w:rsidP="00E1424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92447" w:rsidRPr="00B60D11" w:rsidTr="00E92447">
        <w:trPr>
          <w:trHeight w:val="300"/>
        </w:trPr>
        <w:tc>
          <w:tcPr>
            <w:tcW w:w="89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92447" w:rsidRPr="00B60D11" w:rsidRDefault="00E92447" w:rsidP="00522A51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8323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</w:t>
            </w:r>
            <w:r w:rsidR="00522A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Pr="00B60D1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 – CEF-CAU/SC</w:t>
            </w:r>
          </w:p>
        </w:tc>
        <w:tc>
          <w:tcPr>
            <w:tcW w:w="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</w:tcPr>
          <w:p w:rsidR="00E92447" w:rsidRPr="00B60D11" w:rsidRDefault="00E92447" w:rsidP="0015428F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</w:tc>
      </w:tr>
    </w:tbl>
    <w:p w:rsidR="00002928" w:rsidRPr="00B60D11" w:rsidRDefault="00002928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 xml:space="preserve">A COMISSÃO DE ENSINO E FORMAÇÃO – CEF-CAU/SC, reunida ordinariamente no dia </w:t>
      </w:r>
      <w:r w:rsidR="00527011">
        <w:rPr>
          <w:rFonts w:ascii="Arial" w:hAnsi="Arial" w:cs="Arial"/>
        </w:rPr>
        <w:t>23</w:t>
      </w:r>
      <w:r w:rsidR="00C0319B">
        <w:rPr>
          <w:rFonts w:ascii="Arial" w:hAnsi="Arial" w:cs="Arial"/>
        </w:rPr>
        <w:t xml:space="preserve"> de </w:t>
      </w:r>
      <w:r w:rsidR="00527011">
        <w:rPr>
          <w:rFonts w:ascii="Arial" w:hAnsi="Arial" w:cs="Arial"/>
        </w:rPr>
        <w:t>setembro</w:t>
      </w:r>
      <w:r w:rsidRPr="00B60D11">
        <w:rPr>
          <w:rFonts w:ascii="Arial" w:hAnsi="Arial" w:cs="Arial"/>
        </w:rPr>
        <w:t xml:space="preserve"> de 2020, com participação virtual (à distância) dos (as) conselheiros (as), nos termos do item 4 da Deliberação Plenária nº 489, de 17 de abril de 2020, c/</w:t>
      </w:r>
      <w:proofErr w:type="gramStart"/>
      <w:r w:rsidRPr="00B60D11">
        <w:rPr>
          <w:rFonts w:ascii="Arial" w:hAnsi="Arial" w:cs="Arial"/>
        </w:rPr>
        <w:t>c</w:t>
      </w:r>
      <w:proofErr w:type="gramEnd"/>
      <w:r w:rsidRPr="00B60D11">
        <w:rPr>
          <w:rFonts w:ascii="Arial" w:hAnsi="Arial" w:cs="Arial"/>
        </w:rPr>
        <w:t xml:space="preserve"> o §3º do artigo 107 do Regimento Interno, </w:t>
      </w:r>
      <w:r w:rsidRPr="00B60D11">
        <w:rPr>
          <w:rFonts w:ascii="Arial" w:hAnsi="Arial" w:cs="Arial"/>
          <w:b/>
        </w:rPr>
        <w:t>no uso das competências</w:t>
      </w:r>
      <w:r w:rsidRPr="00B60D11">
        <w:rPr>
          <w:rFonts w:ascii="Arial" w:hAnsi="Arial" w:cs="Arial"/>
        </w:rPr>
        <w:t xml:space="preserve"> que lhe conferem os artigos 91 e 93 do Regimento Interno do CAU/SC, após análise do assunto em epígrafe, e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 xml:space="preserve">Considerando que os pedidos de registro profissional abaixo listados foram previamente aprovados e fornecidos </w:t>
      </w:r>
      <w:r w:rsidR="006E441C">
        <w:rPr>
          <w:rFonts w:ascii="Arial" w:hAnsi="Arial" w:cs="Arial"/>
        </w:rPr>
        <w:t>pela Gerência Técnica do CAU/SC;</w:t>
      </w:r>
    </w:p>
    <w:p w:rsidR="00E71EA1" w:rsidRPr="00B60D11" w:rsidRDefault="00E71EA1" w:rsidP="00894779">
      <w:pPr>
        <w:spacing w:before="80" w:after="80"/>
        <w:jc w:val="both"/>
        <w:rPr>
          <w:rFonts w:ascii="Arial" w:hAnsi="Arial" w:cs="Arial"/>
        </w:rPr>
      </w:pPr>
      <w:r w:rsidRPr="00B60D11">
        <w:rPr>
          <w:rFonts w:ascii="Arial" w:hAnsi="Arial" w:cs="Arial"/>
        </w:rPr>
        <w:t>Considerando que todas as deliberações de comissão devem ser encaminhadas à Presidência do CAU/SC, para verificação e encaminhamentos, confor</w:t>
      </w:r>
      <w:r w:rsidR="006E441C">
        <w:rPr>
          <w:rFonts w:ascii="Arial" w:hAnsi="Arial" w:cs="Arial"/>
        </w:rPr>
        <w:t>me Regimento Interno do CAU/SC;</w:t>
      </w:r>
    </w:p>
    <w:p w:rsidR="00F35EFD" w:rsidRPr="00B60D11" w:rsidRDefault="00E14245" w:rsidP="00894779">
      <w:pPr>
        <w:spacing w:before="80" w:after="80"/>
        <w:jc w:val="both"/>
        <w:rPr>
          <w:rFonts w:ascii="Arial" w:hAnsi="Arial" w:cs="Arial"/>
          <w:b/>
        </w:rPr>
      </w:pPr>
      <w:r w:rsidRPr="00B60D11">
        <w:rPr>
          <w:rFonts w:ascii="Arial" w:hAnsi="Arial" w:cs="Arial"/>
          <w:b/>
        </w:rPr>
        <w:t xml:space="preserve">DELIBERA: </w:t>
      </w:r>
    </w:p>
    <w:p w:rsidR="00527011" w:rsidRPr="00004540" w:rsidRDefault="00E71EA1" w:rsidP="00527011">
      <w:pPr>
        <w:spacing w:after="160" w:line="259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B60D11">
        <w:rPr>
          <w:rFonts w:ascii="Arial" w:hAnsi="Arial" w:cs="Arial"/>
        </w:rPr>
        <w:t xml:space="preserve">1 – Homologar o registro em caráter </w:t>
      </w:r>
      <w:r w:rsidR="00DE2C84" w:rsidRPr="00527011">
        <w:rPr>
          <w:rFonts w:ascii="Arial" w:hAnsi="Arial" w:cs="Arial"/>
          <w:b/>
        </w:rPr>
        <w:t>DEFINITIVO</w:t>
      </w:r>
      <w:r w:rsidRPr="00B60D11">
        <w:rPr>
          <w:rFonts w:ascii="Arial" w:hAnsi="Arial" w:cs="Arial"/>
        </w:rPr>
        <w:t xml:space="preserve"> dos profissionais</w:t>
      </w:r>
      <w:r w:rsidR="00782508" w:rsidRPr="005C6D5A">
        <w:rPr>
          <w:rFonts w:ascii="Arial" w:hAnsi="Arial" w:cs="Arial"/>
        </w:rPr>
        <w:t xml:space="preserve">: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ADRIANA GUIMARÃES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ALEX DOS SANTOS MARCELINO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ALINE VANESSA DA SILVA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AMANDA DE OLIVEIRA NUNES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ANA CLARA FRIES QUEIROGA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ANA CLAUDIA PANATO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ANA LUIZA MEWS BASTOS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ANA PAULA LARA SANTIN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BIANCA FERRARI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BRAIAN NEGOSEK DA CUNHA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BRUNA DE SOUSA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BRUNO ZIETZ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CAMILA CASAGRANDE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CARLA KALESKI PEREIRA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CAROLINE VANIN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CHARLES MILLER MOURA SILVA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CLAUDIA LUISA COFFERI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CRISTIANO LUIS FERRARI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CRISTIELY ZUCHINALI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DANIELA ANTUNES PASSOS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DANIELA GUIDI CONSTANTINO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DANIELA WUNDERVALD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DYENE MAFIOLETTI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EMELY TRAMONTIN MAIA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EMILE RODNISKI CERDA PALACIOS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FERNANDA CAROLINE SANTIAN RAIMONDI FERREIRA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FERNANDA CIM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FLÁVIA ANTONIA SALUM FETT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GABRIEL ANTÔNIO PELLEGRINI DIAS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GABRIELA VENIER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GLÁUCIA MORITZ LUZ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IGOR GABRIEL MORETTO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ISABEL CRISTINA ZANINI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JESSICA FERNANDA DA SILVA SANTOS ROMANOFF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JÉSSICA MOTA PARAGUASSÚ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JOAO PEDRO SILVA BARBOSA DE SOUSA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JÚLIA CATTA PRETTA FONTES NOGUEIRA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KANANDA DE OLIVEIRA ZAMIGNAN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KARINE DUTRA RAMOS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KATHARINE SCHWANZ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KEILA GHELLER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KENZO DIOGO DA ROSA LUCKMANN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LAÍS CORRÊA HÜBNER SILVA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LARISSA WILLEMANN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LAURA REGINA DOS SANTOS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LEONARDO ESMERALDINO DA SILVA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LETÍCIA CAPOANI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LETÍCIA DESCHAMPS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LUCAS EDUARDO PAPPIS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LUCAS JAIME FAGUNDES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MANOELA FREIBERGER SEHNEM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MARIA CECÍLIA SCHMITZ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MARIA LUIZA BARON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MARINA MENEGUZZI BALDISSERA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NATÁLIA ROCHA DE MORAES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PATRÍCIA GARGHETTI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PATRIZIA BONACCORSI TRIDAPALLI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 xml:space="preserve">PAULO HENRIQUE RONCONI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lastRenderedPageBreak/>
        <w:t>HONORATO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RAFAEL BAULER THEISS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RAFAELA BACK DA SILVA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SARAH DE OLIVEIRA PEIXOTO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TUANY VITOR DE ANDRADE CHINI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VALESKA BURIJAN GOMES CARNEIRO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VANESSA GUIZOLFI MORAES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VITOR DE SOUZA CARDOSO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527011" w:rsidRPr="00004540">
        <w:rPr>
          <w:rFonts w:ascii="Arial" w:eastAsia="Times New Roman" w:hAnsi="Arial" w:cs="Arial"/>
          <w:color w:val="000000"/>
          <w:lang w:eastAsia="pt-BR"/>
        </w:rPr>
        <w:t>VITÓRIA CAMPOS PRATTS</w:t>
      </w:r>
      <w:r w:rsidR="00527011" w:rsidRPr="005C6D5A">
        <w:rPr>
          <w:rFonts w:ascii="Arial" w:eastAsia="Times New Roman" w:hAnsi="Arial" w:cs="Arial"/>
          <w:color w:val="000000"/>
          <w:lang w:eastAsia="pt-BR"/>
        </w:rPr>
        <w:t>;</w:t>
      </w:r>
    </w:p>
    <w:p w:rsidR="00DF1FF9" w:rsidRPr="00DF1FF9" w:rsidRDefault="00DF1FF9" w:rsidP="00DF1FF9">
      <w:pPr>
        <w:spacing w:after="80" w:line="259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2958B5" w:rsidRPr="00B60D11" w:rsidRDefault="00E92447" w:rsidP="00DF1FF9">
      <w:pPr>
        <w:spacing w:before="40"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2958B5" w:rsidRPr="00B60D11">
        <w:rPr>
          <w:rFonts w:ascii="Arial" w:hAnsi="Arial" w:cs="Arial"/>
        </w:rPr>
        <w:t>2 - Encaminhar esta deliberação à Presidência do CAU/SC para providências cabíveis.</w:t>
      </w:r>
    </w:p>
    <w:p w:rsidR="00002928" w:rsidRPr="00002928" w:rsidRDefault="00002928" w:rsidP="00B60D11">
      <w:pPr>
        <w:autoSpaceDE w:val="0"/>
        <w:autoSpaceDN w:val="0"/>
        <w:adjustRightInd w:val="0"/>
        <w:spacing w:before="120" w:after="80"/>
        <w:rPr>
          <w:rFonts w:ascii="Arial" w:hAnsi="Arial" w:cs="Arial"/>
          <w:b/>
        </w:rPr>
      </w:pPr>
      <w:r w:rsidRPr="00002928">
        <w:rPr>
          <w:rFonts w:ascii="Arial" w:hAnsi="Arial" w:cs="Arial"/>
          <w:b/>
        </w:rPr>
        <w:t>Com 0</w:t>
      </w:r>
      <w:r w:rsidR="00A87863">
        <w:rPr>
          <w:rFonts w:ascii="Arial" w:hAnsi="Arial" w:cs="Arial"/>
          <w:b/>
        </w:rPr>
        <w:t>2</w:t>
      </w:r>
      <w:r w:rsidRPr="00002928">
        <w:rPr>
          <w:rFonts w:ascii="Arial" w:hAnsi="Arial" w:cs="Arial"/>
          <w:b/>
        </w:rPr>
        <w:t xml:space="preserve"> (</w:t>
      </w:r>
      <w:r w:rsidR="00A87863">
        <w:rPr>
          <w:rFonts w:ascii="Arial" w:hAnsi="Arial" w:cs="Arial"/>
          <w:b/>
        </w:rPr>
        <w:t>dois</w:t>
      </w:r>
      <w:r w:rsidRPr="00002928">
        <w:rPr>
          <w:rFonts w:ascii="Arial" w:hAnsi="Arial" w:cs="Arial"/>
          <w:b/>
        </w:rPr>
        <w:t>) votos favoráveis</w:t>
      </w:r>
      <w:r w:rsidRPr="00002928">
        <w:rPr>
          <w:rFonts w:ascii="Arial" w:hAnsi="Arial" w:cs="Arial"/>
        </w:rPr>
        <w:t xml:space="preserve"> d</w:t>
      </w:r>
      <w:r w:rsidR="00A87863"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>s conselheir</w:t>
      </w:r>
      <w:r w:rsidR="00A87863">
        <w:rPr>
          <w:rFonts w:ascii="Arial" w:hAnsi="Arial" w:cs="Arial"/>
        </w:rPr>
        <w:t>a</w:t>
      </w:r>
      <w:r w:rsidRPr="00002928">
        <w:rPr>
          <w:rFonts w:ascii="Arial" w:hAnsi="Arial" w:cs="Arial"/>
        </w:rPr>
        <w:t xml:space="preserve">s </w:t>
      </w:r>
      <w:r w:rsidR="00B83232">
        <w:rPr>
          <w:rFonts w:ascii="Arial" w:hAnsi="Arial" w:cs="Arial"/>
        </w:rPr>
        <w:t>Jaqueline Andrade</w:t>
      </w:r>
      <w:r w:rsidRPr="00002928">
        <w:rPr>
          <w:rFonts w:ascii="Arial" w:hAnsi="Arial" w:cs="Arial"/>
        </w:rPr>
        <w:t xml:space="preserve"> e </w:t>
      </w:r>
      <w:proofErr w:type="spellStart"/>
      <w:r w:rsidRPr="00002928">
        <w:rPr>
          <w:rFonts w:ascii="Arial" w:hAnsi="Arial" w:cs="Arial"/>
        </w:rPr>
        <w:t>Valesca</w:t>
      </w:r>
      <w:proofErr w:type="spellEnd"/>
      <w:r w:rsidRPr="00002928">
        <w:rPr>
          <w:rFonts w:ascii="Arial" w:hAnsi="Arial" w:cs="Arial"/>
        </w:rPr>
        <w:t xml:space="preserve"> Menezes Marques </w:t>
      </w:r>
      <w:r w:rsidRPr="00002928">
        <w:rPr>
          <w:rFonts w:ascii="Arial" w:hAnsi="Arial" w:cs="Arial"/>
          <w:b/>
        </w:rPr>
        <w:t>(zero) votos con</w:t>
      </w:r>
      <w:r w:rsidR="00A87863">
        <w:rPr>
          <w:rFonts w:ascii="Arial" w:hAnsi="Arial" w:cs="Arial"/>
          <w:b/>
        </w:rPr>
        <w:t>trários; 0 (zero) abstenções e 1</w:t>
      </w:r>
      <w:r w:rsidRPr="00002928">
        <w:rPr>
          <w:rFonts w:ascii="Arial" w:hAnsi="Arial" w:cs="Arial"/>
          <w:b/>
        </w:rPr>
        <w:t xml:space="preserve"> (</w:t>
      </w:r>
      <w:r w:rsidR="00A87863">
        <w:rPr>
          <w:rFonts w:ascii="Arial" w:hAnsi="Arial" w:cs="Arial"/>
          <w:b/>
        </w:rPr>
        <w:t>um</w:t>
      </w:r>
      <w:r w:rsidRPr="00002928">
        <w:rPr>
          <w:rFonts w:ascii="Arial" w:hAnsi="Arial" w:cs="Arial"/>
          <w:b/>
        </w:rPr>
        <w:t>) ausência</w:t>
      </w:r>
      <w:r w:rsidR="00A87863" w:rsidRPr="00A87863">
        <w:rPr>
          <w:rFonts w:ascii="Arial" w:hAnsi="Arial" w:cs="Arial"/>
        </w:rPr>
        <w:t xml:space="preserve"> do conselheiro</w:t>
      </w:r>
      <w:r w:rsidR="00A87863">
        <w:rPr>
          <w:rFonts w:ascii="Arial" w:hAnsi="Arial" w:cs="Arial"/>
          <w:b/>
        </w:rPr>
        <w:t xml:space="preserve"> </w:t>
      </w:r>
      <w:r w:rsidR="00A87863" w:rsidRPr="00002928">
        <w:rPr>
          <w:rFonts w:ascii="Arial" w:hAnsi="Arial" w:cs="Arial"/>
        </w:rPr>
        <w:t xml:space="preserve">Rodrigo Althoff </w:t>
      </w:r>
      <w:proofErr w:type="gramStart"/>
      <w:r w:rsidR="00A87863" w:rsidRPr="00002928">
        <w:rPr>
          <w:rFonts w:ascii="Arial" w:hAnsi="Arial" w:cs="Arial"/>
        </w:rPr>
        <w:t>Medeiros,</w:t>
      </w:r>
      <w:r w:rsidRPr="00002928">
        <w:rPr>
          <w:rFonts w:ascii="Arial" w:hAnsi="Arial" w:cs="Arial"/>
          <w:b/>
        </w:rPr>
        <w:t>.</w:t>
      </w:r>
      <w:proofErr w:type="gramEnd"/>
      <w:r w:rsidRPr="00002928">
        <w:rPr>
          <w:rFonts w:ascii="Arial" w:hAnsi="Arial" w:cs="Arial"/>
          <w:b/>
        </w:rPr>
        <w:t xml:space="preserve">  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CD nº 28/2020 do CAU/SC e do item 5.1. </w:t>
      </w:r>
      <w:proofErr w:type="gramStart"/>
      <w:r w:rsidRPr="00002928">
        <w:rPr>
          <w:rFonts w:ascii="Arial" w:hAnsi="Arial" w:cs="Arial"/>
        </w:rPr>
        <w:t>da</w:t>
      </w:r>
      <w:proofErr w:type="gramEnd"/>
      <w:r w:rsidRPr="00002928">
        <w:rPr>
          <w:rFonts w:ascii="Arial" w:hAnsi="Arial" w:cs="Arial"/>
        </w:rPr>
        <w:t xml:space="preserve"> Deliberação Plenária nº 489/2020.</w:t>
      </w:r>
    </w:p>
    <w:p w:rsidR="00B83232" w:rsidRDefault="00B83232" w:rsidP="008703C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bookmarkStart w:id="0" w:name="_GoBack"/>
      <w:bookmarkEnd w:id="0"/>
    </w:p>
    <w:p w:rsidR="00B83232" w:rsidRDefault="00B83232" w:rsidP="008703C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</w:p>
    <w:p w:rsidR="00002928" w:rsidRPr="00002928" w:rsidRDefault="00002928" w:rsidP="008703C4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___________________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Antonio Couto Nunes</w:t>
      </w:r>
    </w:p>
    <w:p w:rsidR="00002928" w:rsidRDefault="00002928" w:rsidP="0000292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02928">
        <w:rPr>
          <w:rFonts w:ascii="Arial" w:hAnsi="Arial" w:cs="Arial"/>
        </w:rPr>
        <w:t>Assessor Especial da Presidência</w:t>
      </w: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527011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:rsidR="00002928" w:rsidRPr="00002928" w:rsidRDefault="00527011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9</w:t>
      </w:r>
      <w:r w:rsidR="00E92447">
        <w:rPr>
          <w:rFonts w:ascii="Arial" w:eastAsia="Cambria" w:hAnsi="Arial" w:cs="Arial"/>
          <w:b/>
          <w:bCs/>
          <w:lang w:eastAsia="pt-BR"/>
        </w:rPr>
        <w:t>.</w:t>
      </w:r>
      <w:r w:rsidR="00002928" w:rsidRPr="00002928">
        <w:rPr>
          <w:rFonts w:ascii="Arial" w:eastAsia="Cambria" w:hAnsi="Arial" w:cs="Arial"/>
          <w:b/>
          <w:bCs/>
          <w:lang w:eastAsia="pt-BR"/>
        </w:rPr>
        <w:t>ª REUNIÃO ORDINÁRIA DA CEF - CAU/SC</w:t>
      </w:r>
    </w:p>
    <w:p w:rsidR="00002928" w:rsidRPr="00002928" w:rsidRDefault="00002928" w:rsidP="00002928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002928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002928" w:rsidRPr="00002928" w:rsidRDefault="00002928" w:rsidP="00002928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02928" w:rsidRPr="00002928" w:rsidTr="00B47CA6">
        <w:tc>
          <w:tcPr>
            <w:tcW w:w="5807" w:type="dxa"/>
            <w:vMerge w:val="restart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02928" w:rsidRPr="00002928" w:rsidTr="00B47CA6">
        <w:tc>
          <w:tcPr>
            <w:tcW w:w="5807" w:type="dxa"/>
            <w:vMerge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002928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Rodrigo Althoff Medeiros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A87863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B83232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hAnsi="Arial" w:cs="Arial"/>
              </w:rPr>
              <w:t>Jaqueline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A87863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002928" w:rsidRPr="00002928" w:rsidTr="00B47CA6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hAnsi="Arial" w:cs="Arial"/>
              </w:rPr>
              <w:t>Valesca Menezes Marques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A87863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002928" w:rsidRPr="00002928" w:rsidRDefault="00002928" w:rsidP="00002928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002928" w:rsidRPr="00002928" w:rsidRDefault="00002928" w:rsidP="00002928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02928" w:rsidRPr="00002928" w:rsidTr="00B47CA6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52701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Reunião: </w:t>
            </w:r>
            <w:r w:rsidR="00527011">
              <w:rPr>
                <w:rFonts w:ascii="Arial" w:eastAsia="Cambria" w:hAnsi="Arial" w:cs="Arial"/>
                <w:b/>
              </w:rPr>
              <w:t>9</w:t>
            </w:r>
            <w:r w:rsidR="00E92447" w:rsidRPr="00974E1D">
              <w:rPr>
                <w:rFonts w:ascii="Arial" w:eastAsia="Cambria" w:hAnsi="Arial" w:cs="Arial"/>
              </w:rPr>
              <w:t>.</w:t>
            </w:r>
            <w:r w:rsidRPr="00002928">
              <w:rPr>
                <w:rFonts w:ascii="Arial" w:eastAsia="Cambria" w:hAnsi="Arial" w:cs="Arial"/>
              </w:rPr>
              <w:t>ª Reunião Ordinária de 2020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Data: </w:t>
            </w:r>
            <w:r w:rsidR="00C0319B">
              <w:rPr>
                <w:rFonts w:ascii="Arial" w:eastAsia="Cambria" w:hAnsi="Arial" w:cs="Arial"/>
              </w:rPr>
              <w:t>2</w:t>
            </w:r>
            <w:r w:rsidR="00527011">
              <w:rPr>
                <w:rFonts w:ascii="Arial" w:eastAsia="Cambria" w:hAnsi="Arial" w:cs="Arial"/>
              </w:rPr>
              <w:t>3</w:t>
            </w:r>
            <w:r w:rsidRPr="00002928">
              <w:rPr>
                <w:rFonts w:ascii="Arial" w:eastAsia="Cambria" w:hAnsi="Arial" w:cs="Arial"/>
              </w:rPr>
              <w:t>/0</w:t>
            </w:r>
            <w:r w:rsidR="00527011">
              <w:rPr>
                <w:rFonts w:ascii="Arial" w:eastAsia="Cambria" w:hAnsi="Arial" w:cs="Arial"/>
              </w:rPr>
              <w:t>9</w:t>
            </w:r>
            <w:r w:rsidRPr="00002928">
              <w:rPr>
                <w:rFonts w:ascii="Arial" w:eastAsia="Cambria" w:hAnsi="Arial" w:cs="Arial"/>
              </w:rPr>
              <w:t>/2020</w:t>
            </w:r>
          </w:p>
          <w:p w:rsidR="00002928" w:rsidRPr="00002928" w:rsidRDefault="00002928" w:rsidP="0052701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002928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</w:t>
            </w:r>
            <w:r w:rsidR="00527011">
              <w:rPr>
                <w:rFonts w:ascii="Arial" w:eastAsia="Times New Roman" w:hAnsi="Arial" w:cs="Arial"/>
                <w:color w:val="000000"/>
                <w:lang w:eastAsia="pt-BR"/>
              </w:rPr>
              <w:t>66</w:t>
            </w:r>
            <w:r w:rsidRPr="00002928"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Registros Profissionais em caráter </w:t>
            </w:r>
            <w:r w:rsidR="00DE2C84" w:rsidRPr="00B60D11">
              <w:rPr>
                <w:rFonts w:ascii="Arial" w:eastAsia="Times New Roman" w:hAnsi="Arial" w:cs="Arial"/>
                <w:color w:val="000000"/>
                <w:lang w:eastAsia="pt-BR"/>
              </w:rPr>
              <w:t>DEFINITIVO</w:t>
            </w:r>
          </w:p>
        </w:tc>
      </w:tr>
      <w:tr w:rsidR="00002928" w:rsidRPr="00002928" w:rsidTr="00B47CA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A87863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02928">
              <w:rPr>
                <w:rFonts w:ascii="Arial" w:eastAsia="Cambria" w:hAnsi="Arial" w:cs="Arial"/>
              </w:rPr>
              <w:t>(0</w:t>
            </w:r>
            <w:r w:rsidR="00A87863">
              <w:rPr>
                <w:rFonts w:ascii="Arial" w:eastAsia="Cambria" w:hAnsi="Arial" w:cs="Arial"/>
              </w:rPr>
              <w:t>2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Não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Abstenções </w:t>
            </w:r>
            <w:r w:rsidRPr="00002928">
              <w:rPr>
                <w:rFonts w:ascii="Arial" w:eastAsia="Cambria" w:hAnsi="Arial" w:cs="Arial"/>
              </w:rPr>
              <w:t xml:space="preserve">(0) </w:t>
            </w:r>
            <w:r w:rsidRPr="00002928">
              <w:rPr>
                <w:rFonts w:ascii="Arial" w:eastAsia="Cambria" w:hAnsi="Arial" w:cs="Arial"/>
                <w:b/>
              </w:rPr>
              <w:t xml:space="preserve">Ausências </w:t>
            </w:r>
            <w:r w:rsidRPr="00002928">
              <w:rPr>
                <w:rFonts w:ascii="Arial" w:eastAsia="Cambria" w:hAnsi="Arial" w:cs="Arial"/>
              </w:rPr>
              <w:t>(</w:t>
            </w:r>
            <w:r w:rsidR="00A87863">
              <w:rPr>
                <w:rFonts w:ascii="Arial" w:eastAsia="Cambria" w:hAnsi="Arial" w:cs="Arial"/>
              </w:rPr>
              <w:t>01</w:t>
            </w:r>
            <w:r w:rsidRPr="00002928">
              <w:rPr>
                <w:rFonts w:ascii="Arial" w:eastAsia="Cambria" w:hAnsi="Arial" w:cs="Arial"/>
              </w:rPr>
              <w:t xml:space="preserve">) </w:t>
            </w:r>
            <w:r w:rsidRPr="00002928">
              <w:rPr>
                <w:rFonts w:ascii="Arial" w:eastAsia="Cambria" w:hAnsi="Arial" w:cs="Arial"/>
                <w:b/>
              </w:rPr>
              <w:t xml:space="preserve">Total </w:t>
            </w:r>
            <w:r w:rsidRPr="00002928">
              <w:rPr>
                <w:rFonts w:ascii="Arial" w:eastAsia="Cambria" w:hAnsi="Arial" w:cs="Arial"/>
              </w:rPr>
              <w:t>(03)</w:t>
            </w:r>
          </w:p>
        </w:tc>
      </w:tr>
      <w:tr w:rsidR="00002928" w:rsidRPr="00002928" w:rsidTr="00B47CA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Ocorrências: </w:t>
            </w:r>
            <w:r w:rsidRPr="00002928">
              <w:rPr>
                <w:rFonts w:ascii="Arial" w:eastAsia="Cambria" w:hAnsi="Arial" w:cs="Arial"/>
              </w:rPr>
              <w:t>Não houve.</w:t>
            </w:r>
          </w:p>
        </w:tc>
      </w:tr>
      <w:tr w:rsidR="00002928" w:rsidRPr="00002928" w:rsidTr="00B47CA6">
        <w:trPr>
          <w:trHeight w:val="257"/>
        </w:trPr>
        <w:tc>
          <w:tcPr>
            <w:tcW w:w="4530" w:type="dxa"/>
            <w:shd w:val="clear" w:color="auto" w:fill="D9D9D9"/>
          </w:tcPr>
          <w:p w:rsidR="00002928" w:rsidRPr="00002928" w:rsidRDefault="00002928" w:rsidP="00B8323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="00B83232"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:rsidR="00002928" w:rsidRPr="00002928" w:rsidRDefault="00002928" w:rsidP="00002928">
            <w:pPr>
              <w:tabs>
                <w:tab w:val="left" w:pos="1418"/>
                <w:tab w:val="left" w:pos="2880"/>
              </w:tabs>
              <w:rPr>
                <w:rFonts w:ascii="Arial" w:eastAsia="Cambria" w:hAnsi="Arial" w:cs="Arial"/>
                <w:i/>
              </w:rPr>
            </w:pPr>
            <w:r w:rsidRPr="00002928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002928">
              <w:rPr>
                <w:rFonts w:ascii="Arial" w:hAnsi="Arial" w:cs="Arial"/>
              </w:rPr>
              <w:t>Rodrigo Althoff Medeiros</w:t>
            </w:r>
          </w:p>
        </w:tc>
      </w:tr>
    </w:tbl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002928" w:rsidRPr="00002928" w:rsidRDefault="00002928" w:rsidP="00002928">
      <w:pPr>
        <w:rPr>
          <w:rFonts w:ascii="Arial" w:hAnsi="Arial" w:cs="Arial"/>
        </w:rPr>
      </w:pPr>
    </w:p>
    <w:p w:rsidR="00002928" w:rsidRPr="00002928" w:rsidRDefault="00002928" w:rsidP="00002928">
      <w:pPr>
        <w:jc w:val="both"/>
        <w:rPr>
          <w:rFonts w:ascii="Arial" w:hAnsi="Arial" w:cs="Arial"/>
        </w:rPr>
      </w:pPr>
    </w:p>
    <w:p w:rsidR="00F35EFD" w:rsidRPr="00B60D11" w:rsidRDefault="00F35EFD" w:rsidP="00002928">
      <w:pPr>
        <w:jc w:val="both"/>
        <w:rPr>
          <w:rFonts w:ascii="Arial" w:hAnsi="Arial" w:cs="Arial"/>
        </w:rPr>
      </w:pPr>
    </w:p>
    <w:sectPr w:rsidR="00F35EFD" w:rsidRPr="00B60D11" w:rsidSect="00FD62D6">
      <w:headerReference w:type="default" r:id="rId7"/>
      <w:footerReference w:type="even" r:id="rId8"/>
      <w:footerReference w:type="default" r:id="rId9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7" name="Imagem 1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8" name="Imagem 1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9" name="Imagem 1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20" name="Imagem 2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6" name="Imagem 1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gutterAtTop/>
  <w:proofState w:spelling="clean" w:grammar="clean"/>
  <w:defaultTabStop w:val="708"/>
  <w:hyphenationZone w:val="425"/>
  <w:characterSpacingControl w:val="doNotCompress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2928"/>
    <w:rsid w:val="000225FC"/>
    <w:rsid w:val="0004346A"/>
    <w:rsid w:val="00097731"/>
    <w:rsid w:val="000A3F3B"/>
    <w:rsid w:val="000C2CD9"/>
    <w:rsid w:val="000E1EA5"/>
    <w:rsid w:val="000E2CCA"/>
    <w:rsid w:val="000E6DF2"/>
    <w:rsid w:val="000F559C"/>
    <w:rsid w:val="00143CB8"/>
    <w:rsid w:val="0015428F"/>
    <w:rsid w:val="00171181"/>
    <w:rsid w:val="0018251D"/>
    <w:rsid w:val="001848AD"/>
    <w:rsid w:val="00190120"/>
    <w:rsid w:val="00190F8A"/>
    <w:rsid w:val="001B42E4"/>
    <w:rsid w:val="00224F00"/>
    <w:rsid w:val="00237776"/>
    <w:rsid w:val="0024303B"/>
    <w:rsid w:val="00245E76"/>
    <w:rsid w:val="00290704"/>
    <w:rsid w:val="002958B5"/>
    <w:rsid w:val="002E7E08"/>
    <w:rsid w:val="003117D2"/>
    <w:rsid w:val="00315066"/>
    <w:rsid w:val="003350AC"/>
    <w:rsid w:val="00336A0D"/>
    <w:rsid w:val="00345500"/>
    <w:rsid w:val="003B190F"/>
    <w:rsid w:val="003B4522"/>
    <w:rsid w:val="004172E1"/>
    <w:rsid w:val="00425319"/>
    <w:rsid w:val="00430C7F"/>
    <w:rsid w:val="00437A04"/>
    <w:rsid w:val="00451AD1"/>
    <w:rsid w:val="00480328"/>
    <w:rsid w:val="004850CF"/>
    <w:rsid w:val="00491185"/>
    <w:rsid w:val="00492F38"/>
    <w:rsid w:val="004B5F36"/>
    <w:rsid w:val="004F59AD"/>
    <w:rsid w:val="00510668"/>
    <w:rsid w:val="00522A51"/>
    <w:rsid w:val="00527011"/>
    <w:rsid w:val="005373F9"/>
    <w:rsid w:val="0055568E"/>
    <w:rsid w:val="00561A66"/>
    <w:rsid w:val="00563026"/>
    <w:rsid w:val="00585026"/>
    <w:rsid w:val="00586BCC"/>
    <w:rsid w:val="005A785D"/>
    <w:rsid w:val="005C6D5A"/>
    <w:rsid w:val="005F4DCE"/>
    <w:rsid w:val="005F5260"/>
    <w:rsid w:val="0061625B"/>
    <w:rsid w:val="00675F4A"/>
    <w:rsid w:val="006A4170"/>
    <w:rsid w:val="006C345D"/>
    <w:rsid w:val="006E441C"/>
    <w:rsid w:val="007271ED"/>
    <w:rsid w:val="00732FD1"/>
    <w:rsid w:val="0074184B"/>
    <w:rsid w:val="00767AE8"/>
    <w:rsid w:val="00782508"/>
    <w:rsid w:val="007B14D6"/>
    <w:rsid w:val="007E0D6B"/>
    <w:rsid w:val="007F2D35"/>
    <w:rsid w:val="008348F1"/>
    <w:rsid w:val="0084466D"/>
    <w:rsid w:val="008703C4"/>
    <w:rsid w:val="00894779"/>
    <w:rsid w:val="00897D77"/>
    <w:rsid w:val="008B46A0"/>
    <w:rsid w:val="008C6348"/>
    <w:rsid w:val="00913694"/>
    <w:rsid w:val="0092346F"/>
    <w:rsid w:val="00952B80"/>
    <w:rsid w:val="009716F1"/>
    <w:rsid w:val="00972843"/>
    <w:rsid w:val="00974E1D"/>
    <w:rsid w:val="009819ED"/>
    <w:rsid w:val="009822E0"/>
    <w:rsid w:val="00991C98"/>
    <w:rsid w:val="009972B4"/>
    <w:rsid w:val="009A1D05"/>
    <w:rsid w:val="009A2B8E"/>
    <w:rsid w:val="009B0769"/>
    <w:rsid w:val="009D0393"/>
    <w:rsid w:val="009F0997"/>
    <w:rsid w:val="00A055D2"/>
    <w:rsid w:val="00A5035F"/>
    <w:rsid w:val="00A87863"/>
    <w:rsid w:val="00A91CF5"/>
    <w:rsid w:val="00AC1F0B"/>
    <w:rsid w:val="00AF6D81"/>
    <w:rsid w:val="00B160E8"/>
    <w:rsid w:val="00B279E2"/>
    <w:rsid w:val="00B41DF9"/>
    <w:rsid w:val="00B55780"/>
    <w:rsid w:val="00B60D11"/>
    <w:rsid w:val="00B82FCB"/>
    <w:rsid w:val="00B83232"/>
    <w:rsid w:val="00BC698F"/>
    <w:rsid w:val="00BE1907"/>
    <w:rsid w:val="00BE5F44"/>
    <w:rsid w:val="00BF546C"/>
    <w:rsid w:val="00C0319B"/>
    <w:rsid w:val="00C13A64"/>
    <w:rsid w:val="00C278E8"/>
    <w:rsid w:val="00C27E1C"/>
    <w:rsid w:val="00C371AB"/>
    <w:rsid w:val="00C60BE2"/>
    <w:rsid w:val="00C85077"/>
    <w:rsid w:val="00C930D5"/>
    <w:rsid w:val="00C9364D"/>
    <w:rsid w:val="00CA2088"/>
    <w:rsid w:val="00CA6BED"/>
    <w:rsid w:val="00CA773C"/>
    <w:rsid w:val="00CD4B64"/>
    <w:rsid w:val="00D334AD"/>
    <w:rsid w:val="00D365A4"/>
    <w:rsid w:val="00D40727"/>
    <w:rsid w:val="00DC7245"/>
    <w:rsid w:val="00DE2C84"/>
    <w:rsid w:val="00DE604B"/>
    <w:rsid w:val="00DF1FF9"/>
    <w:rsid w:val="00E01D0C"/>
    <w:rsid w:val="00E069BA"/>
    <w:rsid w:val="00E1064A"/>
    <w:rsid w:val="00E14245"/>
    <w:rsid w:val="00E24E98"/>
    <w:rsid w:val="00E45E9D"/>
    <w:rsid w:val="00E56CD6"/>
    <w:rsid w:val="00E71EA1"/>
    <w:rsid w:val="00E761A5"/>
    <w:rsid w:val="00E92447"/>
    <w:rsid w:val="00E940DD"/>
    <w:rsid w:val="00EB09C1"/>
    <w:rsid w:val="00ED3F80"/>
    <w:rsid w:val="00EF1E10"/>
    <w:rsid w:val="00EF7360"/>
    <w:rsid w:val="00F35EFD"/>
    <w:rsid w:val="00F73494"/>
    <w:rsid w:val="00F85DCE"/>
    <w:rsid w:val="00F86DFD"/>
    <w:rsid w:val="00F972B9"/>
    <w:rsid w:val="00FB12ED"/>
    <w:rsid w:val="00FD62D6"/>
    <w:rsid w:val="00FF1455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7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59"/>
    <w:rsid w:val="004B5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8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9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7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8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1924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1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26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36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672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1270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569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220EA-F610-4875-BC0A-9DA09C4C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739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2020-09-24T21:33:00Z</cp:lastPrinted>
  <dcterms:created xsi:type="dcterms:W3CDTF">2020-09-23T12:55:00Z</dcterms:created>
  <dcterms:modified xsi:type="dcterms:W3CDTF">2020-09-24T21:34:00Z</dcterms:modified>
</cp:coreProperties>
</file>