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244E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690396</w:t>
            </w:r>
            <w:r w:rsidR="00C17A39"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65846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Interpretação da Deliberação </w:t>
            </w:r>
            <w:r w:rsidR="00221FD5">
              <w:rPr>
                <w:rFonts w:ascii="Arial" w:eastAsia="Times New Roman" w:hAnsi="Arial" w:cs="Arial"/>
                <w:color w:val="000000"/>
                <w:lang w:eastAsia="pt-BR"/>
              </w:rPr>
              <w:t>nº</w:t>
            </w:r>
            <w:r w:rsidR="009F244E">
              <w:rPr>
                <w:rFonts w:ascii="Arial" w:eastAsia="Times New Roman" w:hAnsi="Arial" w:cs="Arial"/>
                <w:color w:val="000000"/>
                <w:lang w:eastAsia="pt-BR"/>
              </w:rPr>
              <w:t>74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/2018 – CEP-CAU/BR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3302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A29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C17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A4FF9" w:rsidRDefault="006A4FF9" w:rsidP="006A4FF9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Pr="00433D4E">
        <w:rPr>
          <w:rFonts w:ascii="Arial" w:eastAsia="Times New Roman" w:hAnsi="Arial" w:cs="Arial"/>
          <w:lang w:eastAsia="pt-BR"/>
        </w:rPr>
        <w:t>27 do mês de março de dois mil e dezenove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40F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</w:t>
      </w:r>
      <w:r w:rsidR="00B40F64">
        <w:rPr>
          <w:rFonts w:ascii="Arial" w:eastAsia="Times New Roman" w:hAnsi="Arial" w:cs="Arial"/>
          <w:lang w:eastAsia="pt-BR"/>
        </w:rPr>
        <w:t>Deliberação nº74</w:t>
      </w:r>
      <w:r w:rsidR="00221FD5">
        <w:rPr>
          <w:rFonts w:ascii="Arial" w:eastAsia="Times New Roman" w:hAnsi="Arial" w:cs="Arial"/>
          <w:lang w:eastAsia="pt-BR"/>
        </w:rPr>
        <w:t xml:space="preserve">/2018 da CEP-CAU/BR que </w:t>
      </w:r>
      <w:r w:rsidR="00B40F64">
        <w:rPr>
          <w:rFonts w:ascii="Arial" w:eastAsia="Times New Roman" w:hAnsi="Arial" w:cs="Arial"/>
          <w:lang w:eastAsia="pt-BR"/>
        </w:rPr>
        <w:t>trata do registro das atividades de manutenção predial de um único contrato/contratante de prestação de serviços contemplando diversos endereços de obra para execução de reparos em edificaç</w:t>
      </w:r>
      <w:r w:rsidR="008215ED">
        <w:rPr>
          <w:rFonts w:ascii="Arial" w:eastAsia="Times New Roman" w:hAnsi="Arial" w:cs="Arial"/>
          <w:lang w:eastAsia="pt-BR"/>
        </w:rPr>
        <w:t>ões (serviços de pequeno porte);</w:t>
      </w:r>
    </w:p>
    <w:p w:rsidR="008215ED" w:rsidRDefault="008215ED" w:rsidP="00C03755">
      <w:pPr>
        <w:jc w:val="both"/>
        <w:rPr>
          <w:rFonts w:ascii="Arial" w:eastAsia="Times New Roman" w:hAnsi="Arial" w:cs="Arial"/>
          <w:lang w:eastAsia="pt-BR"/>
        </w:rPr>
      </w:pPr>
    </w:p>
    <w:p w:rsidR="008215ED" w:rsidRDefault="00CE2CC9" w:rsidP="00C0375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NBR 5674, que define a manutenção como o “conjunto de atividades a serem realizadas para conservar ou recuperar a capacidade funcional da edificação e de suas partes constituintes de atender as necessidades e segurança dos seus usuários”</w:t>
      </w:r>
      <w:r w:rsidR="00733920">
        <w:rPr>
          <w:rFonts w:ascii="Arial" w:eastAsia="Times New Roman" w:hAnsi="Arial" w:cs="Arial"/>
          <w:lang w:eastAsia="pt-BR"/>
        </w:rPr>
        <w:t>;</w:t>
      </w:r>
    </w:p>
    <w:p w:rsidR="0064464C" w:rsidRDefault="0064464C" w:rsidP="00C03755">
      <w:pPr>
        <w:jc w:val="both"/>
        <w:rPr>
          <w:rFonts w:ascii="Arial" w:eastAsia="Times New Roman" w:hAnsi="Arial" w:cs="Arial"/>
          <w:lang w:eastAsia="pt-BR"/>
        </w:rPr>
      </w:pPr>
    </w:p>
    <w:p w:rsidR="00F04358" w:rsidRPr="00EB1180" w:rsidRDefault="0064464C" w:rsidP="00F0435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F04358">
        <w:rPr>
          <w:rFonts w:ascii="Arial" w:eastAsia="Times New Roman" w:hAnsi="Arial" w:cs="Arial"/>
          <w:lang w:eastAsia="pt-BR"/>
        </w:rPr>
        <w:t xml:space="preserve"> a definição</w:t>
      </w:r>
      <w:r w:rsidR="00EB1180">
        <w:rPr>
          <w:rFonts w:ascii="Arial" w:eastAsia="Times New Roman" w:hAnsi="Arial" w:cs="Arial"/>
          <w:lang w:eastAsia="pt-BR"/>
        </w:rPr>
        <w:t xml:space="preserve"> </w:t>
      </w:r>
      <w:r w:rsidR="00EB1180" w:rsidRPr="00EB1180">
        <w:rPr>
          <w:rFonts w:ascii="Arial" w:eastAsia="Times New Roman" w:hAnsi="Arial" w:cs="Arial"/>
          <w:lang w:eastAsia="pt-BR"/>
        </w:rPr>
        <w:t xml:space="preserve">trazida no glossário da Resolução nº21 do CAU/BR </w:t>
      </w:r>
      <w:r w:rsidR="00F04358">
        <w:rPr>
          <w:rFonts w:ascii="Arial" w:eastAsia="Times New Roman" w:hAnsi="Arial" w:cs="Arial"/>
          <w:lang w:eastAsia="pt-BR"/>
        </w:rPr>
        <w:t xml:space="preserve">das atividades de </w:t>
      </w:r>
      <w:r w:rsidR="00F04358" w:rsidRPr="00EB1180">
        <w:rPr>
          <w:rFonts w:ascii="Arial" w:eastAsia="Times New Roman" w:hAnsi="Arial" w:cs="Arial"/>
          <w:lang w:eastAsia="pt-BR"/>
        </w:rPr>
        <w:t>3.3. DIREÇÃO OU CONDUÇÃO DE OBRA OU SERVIÇO TÉCNICO: atividade técnica de determinar, comandar e essencialmente decidir na consecução de obra ou serviço, definindo uma orientação ou diretriz a ser seguida durante a sua execução por terceiros; 3.5. ACOMPANHAMENTO DE OBRA OU SERVIÇO TÉCNICO: atividade exercida por profissional ou empresa de arquitetura e urbanismo para verificação da implantação do projeto na obra, visando assegurar que sua execução obedeça fielmente às definições e especificações técnicas nele contidas. 3.7. DESEMPENHO DE CARGO OU FUNÇÃO TÉCNICA, atividade exercida de forma continuada, no âmbito da profissão, em decorrência de ato de nomeação, des</w:t>
      </w:r>
      <w:r w:rsidR="00EB1180" w:rsidRPr="00EB1180">
        <w:rPr>
          <w:rFonts w:ascii="Arial" w:eastAsia="Times New Roman" w:hAnsi="Arial" w:cs="Arial"/>
          <w:lang w:eastAsia="pt-BR"/>
        </w:rPr>
        <w:t>ignação ou contrato de trabalho.</w:t>
      </w:r>
    </w:p>
    <w:p w:rsidR="001340CB" w:rsidRDefault="001340CB" w:rsidP="00C03755">
      <w:pPr>
        <w:jc w:val="both"/>
        <w:rPr>
          <w:rFonts w:ascii="Arial" w:eastAsia="Times New Roman" w:hAnsi="Arial" w:cs="Arial"/>
          <w:lang w:eastAsia="pt-BR"/>
        </w:rPr>
      </w:pPr>
    </w:p>
    <w:p w:rsidR="001340CB" w:rsidRDefault="001340CB" w:rsidP="001340CB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que compete a CEP-CAU/SC “</w:t>
      </w:r>
      <w:r w:rsidRPr="001340CB">
        <w:rPr>
          <w:rFonts w:ascii="Arial" w:eastAsia="Times New Roman" w:hAnsi="Arial" w:cs="Arial"/>
          <w:lang w:eastAsia="pt-BR"/>
        </w:rPr>
        <w:t>propor, apreciar e deliberar sobre questionamentos a atos já normatizados pelo CAU/BR referentes a (...)</w:t>
      </w:r>
      <w:r w:rsidR="00221FD5">
        <w:rPr>
          <w:rFonts w:ascii="Arial" w:eastAsia="Times New Roman" w:hAnsi="Arial" w:cs="Arial"/>
          <w:lang w:eastAsia="pt-BR"/>
        </w:rPr>
        <w:t xml:space="preserve"> </w:t>
      </w:r>
      <w:r w:rsidRPr="001340CB">
        <w:rPr>
          <w:rFonts w:ascii="Arial" w:eastAsia="Times New Roman" w:hAnsi="Arial" w:cs="Arial"/>
          <w:lang w:eastAsia="pt-BR"/>
        </w:rPr>
        <w:t>Registro de</w:t>
      </w:r>
      <w:r w:rsidR="00221FD5">
        <w:rPr>
          <w:rFonts w:ascii="Arial" w:eastAsia="Times New Roman" w:hAnsi="Arial" w:cs="Arial"/>
          <w:lang w:eastAsia="pt-BR"/>
        </w:rPr>
        <w:t xml:space="preserve"> Responsabilidade Técnica</w:t>
      </w:r>
      <w:r w:rsidRPr="001340CB">
        <w:rPr>
          <w:rFonts w:ascii="Arial" w:eastAsia="Times New Roman" w:hAnsi="Arial" w:cs="Arial"/>
          <w:lang w:eastAsia="pt-BR"/>
        </w:rPr>
        <w:t>”</w:t>
      </w:r>
      <w:r>
        <w:rPr>
          <w:rFonts w:ascii="Arial" w:eastAsia="Times New Roman" w:hAnsi="Arial" w:cs="Arial"/>
          <w:lang w:eastAsia="pt-BR"/>
        </w:rPr>
        <w:t>, conforme a</w:t>
      </w:r>
      <w:r w:rsidR="00221FD5">
        <w:rPr>
          <w:rFonts w:ascii="Arial" w:eastAsia="Times New Roman" w:hAnsi="Arial" w:cs="Arial"/>
          <w:lang w:eastAsia="pt-BR"/>
        </w:rPr>
        <w:t>rtigo 95, inciso VIII, alínea “d”,</w:t>
      </w:r>
      <w:r w:rsidR="008215ED">
        <w:rPr>
          <w:rFonts w:ascii="Arial" w:eastAsia="Times New Roman" w:hAnsi="Arial" w:cs="Arial"/>
          <w:lang w:eastAsia="pt-BR"/>
        </w:rPr>
        <w:t xml:space="preserve"> do Regimento Interno do CAU/SC;</w:t>
      </w:r>
    </w:p>
    <w:p w:rsidR="001340CB" w:rsidRDefault="001340CB" w:rsidP="001340CB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</w:t>
      </w:r>
      <w:r w:rsidR="0064464C">
        <w:rPr>
          <w:rFonts w:ascii="Arial" w:eastAsia="Times New Roman" w:hAnsi="Arial" w:cs="Arial"/>
          <w:lang w:eastAsia="pt-BR"/>
        </w:rPr>
        <w:t>rme Regimento Interno do CAU/SC.</w:t>
      </w:r>
    </w:p>
    <w:p w:rsidR="0064464C" w:rsidRDefault="0064464C" w:rsidP="00C03755">
      <w:pPr>
        <w:jc w:val="both"/>
        <w:rPr>
          <w:rFonts w:ascii="Arial" w:eastAsia="Times New Roman" w:hAnsi="Arial" w:cs="Arial"/>
          <w:lang w:eastAsia="pt-BR"/>
        </w:rPr>
      </w:pP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B40F64" w:rsidRDefault="00E14245" w:rsidP="006F27E7">
      <w:pPr>
        <w:jc w:val="both"/>
        <w:rPr>
          <w:rFonts w:ascii="Arial" w:eastAsia="Times New Roman" w:hAnsi="Arial" w:cs="Arial"/>
          <w:lang w:eastAsia="pt-BR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221FD5">
        <w:rPr>
          <w:rFonts w:ascii="Arial" w:hAnsi="Arial" w:cs="Arial"/>
        </w:rPr>
        <w:t xml:space="preserve">Orientar o corpo técnico do CAU/SC </w:t>
      </w:r>
      <w:r w:rsidR="0064464C">
        <w:rPr>
          <w:rFonts w:ascii="Arial" w:hAnsi="Arial" w:cs="Arial"/>
        </w:rPr>
        <w:t xml:space="preserve">que a atividade de manutenção predial </w:t>
      </w:r>
      <w:r w:rsidR="00D05414">
        <w:rPr>
          <w:rFonts w:ascii="Arial" w:hAnsi="Arial" w:cs="Arial"/>
        </w:rPr>
        <w:t xml:space="preserve">poderá </w:t>
      </w:r>
      <w:r w:rsidR="00DE04A7">
        <w:rPr>
          <w:rFonts w:ascii="Arial" w:hAnsi="Arial" w:cs="Arial"/>
        </w:rPr>
        <w:t xml:space="preserve">ser </w:t>
      </w:r>
      <w:r w:rsidR="00907DE1">
        <w:rPr>
          <w:rFonts w:ascii="Arial" w:hAnsi="Arial" w:cs="Arial"/>
        </w:rPr>
        <w:t xml:space="preserve">preferencialmente </w:t>
      </w:r>
      <w:r w:rsidR="00D05414">
        <w:rPr>
          <w:rFonts w:ascii="Arial" w:hAnsi="Arial" w:cs="Arial"/>
        </w:rPr>
        <w:t>registrada</w:t>
      </w:r>
      <w:r w:rsidR="00907DE1">
        <w:rPr>
          <w:rFonts w:ascii="Arial" w:hAnsi="Arial" w:cs="Arial"/>
        </w:rPr>
        <w:t xml:space="preserve"> </w:t>
      </w:r>
      <w:r w:rsidR="00D05414">
        <w:rPr>
          <w:rFonts w:ascii="Arial" w:hAnsi="Arial" w:cs="Arial"/>
        </w:rPr>
        <w:t>em</w:t>
      </w:r>
      <w:r w:rsidR="00907DE1">
        <w:rPr>
          <w:rFonts w:ascii="Arial" w:hAnsi="Arial" w:cs="Arial"/>
        </w:rPr>
        <w:t xml:space="preserve"> RRT Simples na atividade de </w:t>
      </w:r>
      <w:r w:rsidR="00522BDE" w:rsidRPr="00EB1180">
        <w:rPr>
          <w:rFonts w:ascii="Arial" w:eastAsia="Times New Roman" w:hAnsi="Arial" w:cs="Arial"/>
          <w:lang w:eastAsia="pt-BR"/>
        </w:rPr>
        <w:t>3.3. DIREÇÃO OU CONDUÇÃO DE OBRA OU SERVIÇO TÉCNICO</w:t>
      </w:r>
      <w:r w:rsidR="00D05414">
        <w:rPr>
          <w:rFonts w:ascii="Arial" w:eastAsia="Times New Roman" w:hAnsi="Arial" w:cs="Arial"/>
          <w:lang w:eastAsia="pt-BR"/>
        </w:rPr>
        <w:t>, com o endereço do contratante sendo o endereço da obra/serviço e descrevendo os detalhes do contrato e serviço no campo descrição,</w:t>
      </w:r>
      <w:r w:rsidR="008E4763">
        <w:rPr>
          <w:rFonts w:ascii="Arial" w:eastAsia="Times New Roman" w:hAnsi="Arial" w:cs="Arial"/>
          <w:lang w:eastAsia="pt-BR"/>
        </w:rPr>
        <w:t xml:space="preserve"> como local, escopo, quantidade, período,</w:t>
      </w:r>
      <w:r w:rsidR="00D05414">
        <w:rPr>
          <w:rFonts w:ascii="Arial" w:eastAsia="Times New Roman" w:hAnsi="Arial" w:cs="Arial"/>
          <w:lang w:eastAsia="pt-BR"/>
        </w:rPr>
        <w:t xml:space="preserve"> conforme exemplo do anexo I.</w:t>
      </w:r>
    </w:p>
    <w:p w:rsidR="00522BDE" w:rsidRDefault="00522BDE" w:rsidP="006F27E7">
      <w:pPr>
        <w:jc w:val="both"/>
        <w:rPr>
          <w:rFonts w:ascii="Arial" w:eastAsia="Times New Roman" w:hAnsi="Arial" w:cs="Arial"/>
          <w:lang w:eastAsia="pt-BR"/>
        </w:rPr>
      </w:pPr>
    </w:p>
    <w:p w:rsidR="00522BDE" w:rsidRDefault="00522BDE" w:rsidP="006F27E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2- Solicitar ao CAU/BR</w:t>
      </w:r>
      <w:r w:rsidR="00261E06">
        <w:rPr>
          <w:rFonts w:ascii="Arial" w:eastAsia="Times New Roman" w:hAnsi="Arial" w:cs="Arial"/>
          <w:lang w:eastAsia="pt-BR"/>
        </w:rPr>
        <w:t xml:space="preserve"> que implante um RRT específico para a atividade de MANUTENÇÃO PREDIAL.</w:t>
      </w:r>
    </w:p>
    <w:p w:rsidR="00B360FC" w:rsidRDefault="00B360FC" w:rsidP="006F27E7">
      <w:pPr>
        <w:jc w:val="both"/>
        <w:rPr>
          <w:rFonts w:ascii="Arial" w:eastAsia="Times New Roman" w:hAnsi="Arial" w:cs="Arial"/>
          <w:lang w:eastAsia="pt-BR"/>
        </w:rPr>
      </w:pPr>
    </w:p>
    <w:p w:rsidR="00B360FC" w:rsidRPr="002D0170" w:rsidRDefault="00B360FC" w:rsidP="006F27E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>2 - Encaminhar esta deliberação à Presidência do CAU/SC para providências cabíveis.</w:t>
      </w:r>
    </w:p>
    <w:p w:rsidR="006F27E7" w:rsidRDefault="006F27E7" w:rsidP="00F35EFD">
      <w:pPr>
        <w:jc w:val="both"/>
        <w:rPr>
          <w:rFonts w:ascii="Arial" w:hAnsi="Arial" w:cs="Arial"/>
        </w:rPr>
      </w:pPr>
    </w:p>
    <w:p w:rsidR="0064464C" w:rsidRDefault="0064464C" w:rsidP="00F35EFD">
      <w:pPr>
        <w:jc w:val="both"/>
        <w:rPr>
          <w:rFonts w:ascii="Arial" w:hAnsi="Arial" w:cs="Arial"/>
        </w:rPr>
      </w:pPr>
    </w:p>
    <w:p w:rsidR="006A4FF9" w:rsidRDefault="006A4FF9" w:rsidP="006A4FF9">
      <w:pPr>
        <w:jc w:val="both"/>
        <w:rPr>
          <w:rFonts w:ascii="Arial" w:hAnsi="Arial" w:cs="Arial"/>
        </w:rPr>
      </w:pPr>
      <w:r w:rsidRPr="001A49FF">
        <w:rPr>
          <w:rFonts w:ascii="Arial" w:hAnsi="Arial" w:cs="Arial"/>
        </w:rPr>
        <w:t xml:space="preserve">Com </w:t>
      </w:r>
      <w:r w:rsidR="001A49FF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77105">
        <w:rPr>
          <w:rFonts w:ascii="Arial" w:hAnsi="Arial" w:cs="Arial"/>
        </w:rPr>
        <w:t>Fabio Vieira da Silva</w:t>
      </w:r>
      <w:r w:rsidRPr="003666F3">
        <w:rPr>
          <w:rFonts w:ascii="Arial" w:hAnsi="Arial" w:cs="Arial"/>
        </w:rPr>
        <w:t xml:space="preserve">; </w:t>
      </w:r>
      <w:r w:rsidRPr="00377105">
        <w:rPr>
          <w:rFonts w:ascii="Arial" w:hAnsi="Arial" w:cs="Arial"/>
        </w:rPr>
        <w:t>Everson Martins</w:t>
      </w:r>
      <w:r>
        <w:rPr>
          <w:rFonts w:ascii="Arial" w:hAnsi="Arial" w:cs="Arial"/>
        </w:rPr>
        <w:t xml:space="preserve">; </w:t>
      </w:r>
      <w:r w:rsidRPr="00377105">
        <w:rPr>
          <w:rFonts w:ascii="Arial" w:hAnsi="Arial" w:cs="Arial"/>
        </w:rPr>
        <w:t>Daniel Rodrigues da Silva</w:t>
      </w:r>
      <w:r>
        <w:rPr>
          <w:rFonts w:ascii="Arial" w:hAnsi="Arial" w:cs="Arial"/>
        </w:rPr>
        <w:t xml:space="preserve"> e </w:t>
      </w:r>
      <w:r w:rsidRPr="00377105">
        <w:rPr>
          <w:rFonts w:ascii="Arial" w:hAnsi="Arial" w:cs="Arial"/>
        </w:rPr>
        <w:t xml:space="preserve">Maurício André </w:t>
      </w:r>
      <w:proofErr w:type="spellStart"/>
      <w:r w:rsidRPr="00377105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>.</w:t>
      </w:r>
    </w:p>
    <w:p w:rsidR="006A4FF9" w:rsidRDefault="006A4FF9" w:rsidP="006A4FF9">
      <w:pPr>
        <w:jc w:val="center"/>
        <w:rPr>
          <w:rFonts w:ascii="Arial" w:hAnsi="Arial" w:cs="Arial"/>
        </w:rPr>
      </w:pPr>
    </w:p>
    <w:p w:rsidR="006A4FF9" w:rsidRDefault="006A4FF9" w:rsidP="006A4FF9">
      <w:pPr>
        <w:jc w:val="center"/>
        <w:rPr>
          <w:rFonts w:ascii="Arial" w:hAnsi="Arial" w:cs="Arial"/>
        </w:rPr>
      </w:pPr>
    </w:p>
    <w:p w:rsidR="006A4FF9" w:rsidRDefault="006A4FF9" w:rsidP="006A4F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27 de março de 2019.</w:t>
      </w:r>
    </w:p>
    <w:p w:rsidR="006A4FF9" w:rsidRDefault="006A4FF9" w:rsidP="006A4FF9">
      <w:pPr>
        <w:jc w:val="both"/>
        <w:rPr>
          <w:rFonts w:ascii="Arial" w:hAnsi="Arial" w:cs="Arial"/>
        </w:rPr>
      </w:pPr>
    </w:p>
    <w:p w:rsidR="006A4FF9" w:rsidRDefault="006A4FF9" w:rsidP="006A4FF9">
      <w:pPr>
        <w:jc w:val="both"/>
        <w:rPr>
          <w:rFonts w:ascii="Arial" w:hAnsi="Arial" w:cs="Arial"/>
        </w:rPr>
      </w:pPr>
    </w:p>
    <w:p w:rsidR="006A4FF9" w:rsidRDefault="006A4FF9" w:rsidP="006A4FF9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A4FF9" w:rsidRDefault="006A4FF9" w:rsidP="006A4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6A4FF9" w:rsidRDefault="006A4FF9" w:rsidP="006A4FF9">
      <w:pPr>
        <w:jc w:val="both"/>
        <w:rPr>
          <w:rFonts w:ascii="Arial" w:hAnsi="Arial" w:cs="Arial"/>
          <w:b/>
          <w:lang w:eastAsia="pt-BR"/>
        </w:rPr>
      </w:pPr>
    </w:p>
    <w:p w:rsidR="006A4FF9" w:rsidRPr="002266C0" w:rsidRDefault="006A4FF9" w:rsidP="006A4FF9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6A4FF9" w:rsidRPr="002266C0" w:rsidRDefault="006A4FF9" w:rsidP="006A4FF9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6A4FF9" w:rsidRPr="00E1064A" w:rsidRDefault="006A4FF9" w:rsidP="006A4FF9">
      <w:pPr>
        <w:jc w:val="both"/>
        <w:rPr>
          <w:rFonts w:ascii="Arial" w:hAnsi="Arial" w:cs="Arial"/>
          <w:b/>
        </w:rPr>
      </w:pPr>
    </w:p>
    <w:p w:rsidR="006A4FF9" w:rsidRPr="00860E86" w:rsidRDefault="006A4FF9" w:rsidP="006A4FF9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="001A49FF">
        <w:rPr>
          <w:rFonts w:ascii="Arial" w:hAnsi="Arial" w:cs="Arial"/>
          <w:lang w:eastAsia="pt-BR"/>
        </w:rPr>
        <w:t>__________</w:t>
      </w:r>
      <w:proofErr w:type="gramStart"/>
      <w:r w:rsidR="001A49FF">
        <w:rPr>
          <w:rFonts w:ascii="Arial" w:hAnsi="Arial" w:cs="Arial"/>
          <w:lang w:eastAsia="pt-BR"/>
        </w:rPr>
        <w:t>_Ausente</w:t>
      </w:r>
      <w:proofErr w:type="gramEnd"/>
      <w:r w:rsidRPr="00A116A5">
        <w:rPr>
          <w:rFonts w:ascii="Arial" w:hAnsi="Arial" w:cs="Arial"/>
          <w:lang w:eastAsia="pt-BR"/>
        </w:rPr>
        <w:t>________</w:t>
      </w:r>
    </w:p>
    <w:p w:rsidR="006A4FF9" w:rsidRDefault="006A4FF9" w:rsidP="006A4FF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6A4FF9" w:rsidRDefault="006A4FF9" w:rsidP="006A4FF9">
      <w:pPr>
        <w:jc w:val="both"/>
        <w:rPr>
          <w:rFonts w:ascii="Arial" w:hAnsi="Arial" w:cs="Arial"/>
          <w:lang w:eastAsia="pt-BR"/>
        </w:rPr>
      </w:pPr>
    </w:p>
    <w:p w:rsidR="006A4FF9" w:rsidRPr="00860E86" w:rsidRDefault="006A4FF9" w:rsidP="006A4FF9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6A4FF9" w:rsidRDefault="006A4FF9" w:rsidP="006A4FF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6A4FF9" w:rsidRDefault="006A4FF9" w:rsidP="006A4FF9">
      <w:pPr>
        <w:jc w:val="both"/>
        <w:rPr>
          <w:rFonts w:ascii="Arial" w:hAnsi="Arial" w:cs="Arial"/>
          <w:lang w:eastAsia="pt-BR"/>
        </w:rPr>
      </w:pPr>
    </w:p>
    <w:p w:rsidR="006A4FF9" w:rsidRPr="00860E86" w:rsidRDefault="006A4FF9" w:rsidP="006A4FF9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6A4FF9" w:rsidRDefault="006A4FF9" w:rsidP="006A4FF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FC3A54" w:rsidRDefault="00FC3A54" w:rsidP="00FC3A54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br w:type="page"/>
      </w:r>
      <w:r>
        <w:rPr>
          <w:rFonts w:ascii="Arial" w:hAnsi="Arial" w:cs="Arial"/>
          <w:lang w:eastAsia="pt-BR"/>
        </w:rPr>
        <w:lastRenderedPageBreak/>
        <w:t>ANEXO I</w:t>
      </w:r>
    </w:p>
    <w:p w:rsidR="00FC3A54" w:rsidRDefault="00FC3A54" w:rsidP="00261116">
      <w:pPr>
        <w:jc w:val="both"/>
        <w:rPr>
          <w:rFonts w:ascii="Arial" w:hAnsi="Arial" w:cs="Arial"/>
          <w:lang w:eastAsia="pt-BR"/>
        </w:rPr>
      </w:pPr>
    </w:p>
    <w:p w:rsidR="00880EEB" w:rsidRPr="00D05414" w:rsidRDefault="00BA29A5" w:rsidP="00D05414">
      <w:pPr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56910" cy="2600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EB" w:rsidRPr="00FC3A54" w:rsidRDefault="00880EEB" w:rsidP="00880EEB">
      <w:pPr>
        <w:pStyle w:val="PargrafodaLista"/>
        <w:rPr>
          <w:rFonts w:ascii="Arial" w:hAnsi="Arial" w:cs="Arial"/>
          <w:lang w:eastAsia="pt-BR"/>
        </w:rPr>
      </w:pPr>
    </w:p>
    <w:p w:rsidR="00C922F4" w:rsidRDefault="00C922F4" w:rsidP="00880EEB">
      <w:pPr>
        <w:jc w:val="center"/>
        <w:rPr>
          <w:rFonts w:ascii="Arial" w:hAnsi="Arial" w:cs="Arial"/>
          <w:lang w:eastAsia="pt-BR"/>
        </w:rPr>
      </w:pPr>
    </w:p>
    <w:p w:rsidR="008E4763" w:rsidRPr="008E4763" w:rsidRDefault="008E4763" w:rsidP="00880EE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Observação: </w:t>
      </w:r>
      <w:r w:rsidRPr="008E4763">
        <w:rPr>
          <w:rFonts w:ascii="Arial" w:hAnsi="Arial" w:cs="Arial"/>
          <w:lang w:eastAsia="pt-BR"/>
        </w:rPr>
        <w:t>No exemplo, o RRT foi preenchido no modelo simples</w:t>
      </w:r>
      <w:r>
        <w:rPr>
          <w:rFonts w:ascii="Arial" w:hAnsi="Arial" w:cs="Arial"/>
          <w:lang w:eastAsia="pt-BR"/>
        </w:rPr>
        <w:t xml:space="preserve">, com a atividade de </w:t>
      </w:r>
      <w:r w:rsidR="00522BDE" w:rsidRPr="00EB1180">
        <w:rPr>
          <w:rFonts w:ascii="Arial" w:eastAsia="Times New Roman" w:hAnsi="Arial" w:cs="Arial"/>
          <w:lang w:eastAsia="pt-BR"/>
        </w:rPr>
        <w:t>3.3. DIREÇÃO OU CONDUÇÃO DE OBRA OU SERVIÇO TÉCNICO</w:t>
      </w:r>
      <w:r>
        <w:rPr>
          <w:rFonts w:ascii="Arial" w:eastAsia="Times New Roman" w:hAnsi="Arial" w:cs="Arial"/>
          <w:lang w:eastAsia="pt-BR"/>
        </w:rPr>
        <w:t>. O endereço de obra ou serviço é o do contratante e o período sendo um ano de contrato (365 dias). No campo descrição foram detalhados os locais com endereço, o escopo (</w:t>
      </w:r>
      <w:proofErr w:type="spellStart"/>
      <w:r>
        <w:rPr>
          <w:rFonts w:ascii="Arial" w:eastAsia="Times New Roman" w:hAnsi="Arial" w:cs="Arial"/>
          <w:lang w:eastAsia="pt-BR"/>
        </w:rPr>
        <w:t>ex</w:t>
      </w:r>
      <w:proofErr w:type="spellEnd"/>
      <w:r>
        <w:rPr>
          <w:rFonts w:ascii="Arial" w:eastAsia="Times New Roman" w:hAnsi="Arial" w:cs="Arial"/>
          <w:lang w:eastAsia="pt-BR"/>
        </w:rPr>
        <w:t>: troca de telhas), a quantidade (área), o período (início e fim).</w:t>
      </w:r>
    </w:p>
    <w:sectPr w:rsidR="008E4763" w:rsidRPr="008E4763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03F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68A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161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7C77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3CE3"/>
    <w:rsid w:val="000225FC"/>
    <w:rsid w:val="0004346A"/>
    <w:rsid w:val="00047B9D"/>
    <w:rsid w:val="00093551"/>
    <w:rsid w:val="000D5001"/>
    <w:rsid w:val="000E6DF2"/>
    <w:rsid w:val="000F559C"/>
    <w:rsid w:val="0010789D"/>
    <w:rsid w:val="001340CB"/>
    <w:rsid w:val="00143CB8"/>
    <w:rsid w:val="001848AD"/>
    <w:rsid w:val="00190120"/>
    <w:rsid w:val="00192042"/>
    <w:rsid w:val="001A49FF"/>
    <w:rsid w:val="001D10F9"/>
    <w:rsid w:val="001D491C"/>
    <w:rsid w:val="001E53BF"/>
    <w:rsid w:val="00221FD5"/>
    <w:rsid w:val="00224F00"/>
    <w:rsid w:val="002266C0"/>
    <w:rsid w:val="0024303B"/>
    <w:rsid w:val="002442DE"/>
    <w:rsid w:val="00261116"/>
    <w:rsid w:val="00261E06"/>
    <w:rsid w:val="002D0170"/>
    <w:rsid w:val="00325560"/>
    <w:rsid w:val="003666F3"/>
    <w:rsid w:val="003A1A6F"/>
    <w:rsid w:val="003B168D"/>
    <w:rsid w:val="003B368E"/>
    <w:rsid w:val="003B4522"/>
    <w:rsid w:val="003F0D9F"/>
    <w:rsid w:val="004209CA"/>
    <w:rsid w:val="00425319"/>
    <w:rsid w:val="00436CA1"/>
    <w:rsid w:val="00480328"/>
    <w:rsid w:val="004B4E16"/>
    <w:rsid w:val="004C48B8"/>
    <w:rsid w:val="00510668"/>
    <w:rsid w:val="00522BDE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4464C"/>
    <w:rsid w:val="00650C7A"/>
    <w:rsid w:val="00677D87"/>
    <w:rsid w:val="00693AC1"/>
    <w:rsid w:val="006A4FF9"/>
    <w:rsid w:val="006B1A1C"/>
    <w:rsid w:val="006B4064"/>
    <w:rsid w:val="006C4F98"/>
    <w:rsid w:val="006C5F76"/>
    <w:rsid w:val="006D152E"/>
    <w:rsid w:val="006E60C4"/>
    <w:rsid w:val="006E6BC4"/>
    <w:rsid w:val="006F27E7"/>
    <w:rsid w:val="006F2DEB"/>
    <w:rsid w:val="00702691"/>
    <w:rsid w:val="007168FF"/>
    <w:rsid w:val="00733920"/>
    <w:rsid w:val="0074184B"/>
    <w:rsid w:val="00741E27"/>
    <w:rsid w:val="00771F12"/>
    <w:rsid w:val="007A625B"/>
    <w:rsid w:val="007B14D6"/>
    <w:rsid w:val="007C5856"/>
    <w:rsid w:val="007D218F"/>
    <w:rsid w:val="007D6DD9"/>
    <w:rsid w:val="008215ED"/>
    <w:rsid w:val="0082309A"/>
    <w:rsid w:val="008348F1"/>
    <w:rsid w:val="008454EB"/>
    <w:rsid w:val="00855D06"/>
    <w:rsid w:val="00860E86"/>
    <w:rsid w:val="008712B3"/>
    <w:rsid w:val="00877739"/>
    <w:rsid w:val="00880EEB"/>
    <w:rsid w:val="00896524"/>
    <w:rsid w:val="008A1611"/>
    <w:rsid w:val="008E4763"/>
    <w:rsid w:val="008F29AB"/>
    <w:rsid w:val="008F5C69"/>
    <w:rsid w:val="00907DE1"/>
    <w:rsid w:val="00921658"/>
    <w:rsid w:val="009345C3"/>
    <w:rsid w:val="00940FFC"/>
    <w:rsid w:val="0094672C"/>
    <w:rsid w:val="00952B80"/>
    <w:rsid w:val="009716F1"/>
    <w:rsid w:val="009815D3"/>
    <w:rsid w:val="00991C98"/>
    <w:rsid w:val="009A1405"/>
    <w:rsid w:val="009A5471"/>
    <w:rsid w:val="009B0D50"/>
    <w:rsid w:val="009B30A5"/>
    <w:rsid w:val="009D0393"/>
    <w:rsid w:val="009D7CF6"/>
    <w:rsid w:val="009E129E"/>
    <w:rsid w:val="009E32D0"/>
    <w:rsid w:val="009F244E"/>
    <w:rsid w:val="00A3302E"/>
    <w:rsid w:val="00A36FD6"/>
    <w:rsid w:val="00A37474"/>
    <w:rsid w:val="00A839D4"/>
    <w:rsid w:val="00A933C8"/>
    <w:rsid w:val="00AA37E0"/>
    <w:rsid w:val="00AC0F8C"/>
    <w:rsid w:val="00AC1426"/>
    <w:rsid w:val="00AC15EA"/>
    <w:rsid w:val="00B22F40"/>
    <w:rsid w:val="00B321C4"/>
    <w:rsid w:val="00B360FC"/>
    <w:rsid w:val="00B40F64"/>
    <w:rsid w:val="00B50D48"/>
    <w:rsid w:val="00B8047D"/>
    <w:rsid w:val="00B8179E"/>
    <w:rsid w:val="00BA29A5"/>
    <w:rsid w:val="00BA5DB3"/>
    <w:rsid w:val="00BA7061"/>
    <w:rsid w:val="00BE1907"/>
    <w:rsid w:val="00BF06DC"/>
    <w:rsid w:val="00BF546C"/>
    <w:rsid w:val="00C03755"/>
    <w:rsid w:val="00C13A64"/>
    <w:rsid w:val="00C17A39"/>
    <w:rsid w:val="00C278E8"/>
    <w:rsid w:val="00C27E1C"/>
    <w:rsid w:val="00C306AD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CE2CC9"/>
    <w:rsid w:val="00CF101B"/>
    <w:rsid w:val="00CF584D"/>
    <w:rsid w:val="00D05414"/>
    <w:rsid w:val="00D05592"/>
    <w:rsid w:val="00D365A4"/>
    <w:rsid w:val="00D40727"/>
    <w:rsid w:val="00D4494B"/>
    <w:rsid w:val="00D57861"/>
    <w:rsid w:val="00D65846"/>
    <w:rsid w:val="00D81A05"/>
    <w:rsid w:val="00DE04A7"/>
    <w:rsid w:val="00DF0210"/>
    <w:rsid w:val="00DF0B83"/>
    <w:rsid w:val="00E1064A"/>
    <w:rsid w:val="00E14245"/>
    <w:rsid w:val="00E24E98"/>
    <w:rsid w:val="00E675CB"/>
    <w:rsid w:val="00E761A5"/>
    <w:rsid w:val="00E817A4"/>
    <w:rsid w:val="00E838B0"/>
    <w:rsid w:val="00EB1180"/>
    <w:rsid w:val="00EB7032"/>
    <w:rsid w:val="00ED459B"/>
    <w:rsid w:val="00ED5261"/>
    <w:rsid w:val="00EF739D"/>
    <w:rsid w:val="00F04358"/>
    <w:rsid w:val="00F246AF"/>
    <w:rsid w:val="00F26ED4"/>
    <w:rsid w:val="00F35EFD"/>
    <w:rsid w:val="00F8645C"/>
    <w:rsid w:val="00F86DFD"/>
    <w:rsid w:val="00F905FA"/>
    <w:rsid w:val="00F90E5D"/>
    <w:rsid w:val="00F91509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85B3B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A676-0250-42AE-8E3B-87A87B57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cp:lastModifiedBy>Franciani Rigoni</cp:lastModifiedBy>
  <cp:revision>13</cp:revision>
  <cp:lastPrinted>2016-03-15T18:30:00Z</cp:lastPrinted>
  <dcterms:created xsi:type="dcterms:W3CDTF">2019-02-18T13:16:00Z</dcterms:created>
  <dcterms:modified xsi:type="dcterms:W3CDTF">2019-03-27T18:54:00Z</dcterms:modified>
</cp:coreProperties>
</file>