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E3AFC24" w:rsidR="00E14245" w:rsidRPr="00E14245" w:rsidRDefault="00E14245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48F61B6B" w:rsidR="00E14245" w:rsidRPr="00E14245" w:rsidRDefault="008E52F5" w:rsidP="002C061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Oficio orientativo para a Prefeitura de Palhoça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7EEB7EC2" w:rsidR="00E14245" w:rsidRPr="00E14245" w:rsidRDefault="00E14245" w:rsidP="00EF171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A177C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EF17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2A177C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03AC623F" w14:textId="586DED6C" w:rsidR="00F35EFD" w:rsidRDefault="00C33135" w:rsidP="00F35EFD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D8CE237" w14:textId="728EBB2C" w:rsidR="00033F4D" w:rsidRDefault="00033F4D" w:rsidP="00033F4D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</w:p>
    <w:p w14:paraId="68AF6FCF" w14:textId="77777777" w:rsidR="00090652" w:rsidRDefault="00090652" w:rsidP="00033F4D">
      <w:pPr>
        <w:jc w:val="both"/>
        <w:rPr>
          <w:rFonts w:ascii="Arial" w:hAnsi="Arial" w:cs="Arial"/>
        </w:rPr>
      </w:pPr>
    </w:p>
    <w:p w14:paraId="225CC938" w14:textId="390AB976" w:rsidR="00060ECB" w:rsidRDefault="00033F4D" w:rsidP="00090652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>Considerando</w:t>
      </w:r>
      <w:r w:rsidR="00060ECB">
        <w:rPr>
          <w:rFonts w:ascii="Arial" w:hAnsi="Arial" w:cs="Arial"/>
        </w:rPr>
        <w:t xml:space="preserve"> o entendimento adoptado pela Prefeitura de Palhoça, </w:t>
      </w:r>
      <w:r w:rsidR="00060ECB" w:rsidRPr="00060ECB">
        <w:rPr>
          <w:rFonts w:ascii="Arial" w:hAnsi="Arial" w:cs="Arial"/>
        </w:rPr>
        <w:t xml:space="preserve">que desde março/2018 </w:t>
      </w:r>
      <w:r w:rsidR="00060ECB">
        <w:rPr>
          <w:rFonts w:ascii="Arial" w:hAnsi="Arial" w:cs="Arial"/>
        </w:rPr>
        <w:t>passou</w:t>
      </w:r>
      <w:r w:rsidR="00060ECB" w:rsidRPr="00060ECB">
        <w:rPr>
          <w:rFonts w:ascii="Arial" w:hAnsi="Arial" w:cs="Arial"/>
        </w:rPr>
        <w:t xml:space="preserve"> a exigir que os Engenheiros anotem a atividade tratamento de efluentes domiciliares na ART e os Arquitetos e Urbanista informem no campo descrição que estão r</w:t>
      </w:r>
      <w:r w:rsidR="00060ECB">
        <w:rPr>
          <w:rFonts w:ascii="Arial" w:hAnsi="Arial" w:cs="Arial"/>
        </w:rPr>
        <w:t xml:space="preserve">ealizando esta atividade no RRT para aprovação de projetos nos locais onde não se conta </w:t>
      </w:r>
      <w:r w:rsidR="00060ECB" w:rsidRPr="00060ECB">
        <w:rPr>
          <w:rFonts w:ascii="Arial" w:hAnsi="Arial" w:cs="Arial"/>
        </w:rPr>
        <w:t>sistema de coleta de esgoto</w:t>
      </w:r>
      <w:r w:rsidR="00060ECB">
        <w:rPr>
          <w:rFonts w:ascii="Arial" w:hAnsi="Arial" w:cs="Arial"/>
        </w:rPr>
        <w:t xml:space="preserve">, apenas nos casos de </w:t>
      </w:r>
      <w:r w:rsidR="00060ECB" w:rsidRPr="00060ECB">
        <w:rPr>
          <w:rFonts w:ascii="Arial" w:hAnsi="Arial" w:cs="Arial"/>
        </w:rPr>
        <w:t>fossa, filtro e sumidouro</w:t>
      </w:r>
      <w:r w:rsidR="00060ECB">
        <w:rPr>
          <w:rFonts w:ascii="Arial" w:hAnsi="Arial" w:cs="Arial"/>
        </w:rPr>
        <w:t>;</w:t>
      </w:r>
    </w:p>
    <w:p w14:paraId="6AF38CE4" w14:textId="77777777" w:rsidR="00060ECB" w:rsidRDefault="00060ECB" w:rsidP="00090652">
      <w:pPr>
        <w:jc w:val="both"/>
        <w:rPr>
          <w:rFonts w:ascii="Arial" w:hAnsi="Arial" w:cs="Arial"/>
        </w:rPr>
      </w:pPr>
    </w:p>
    <w:p w14:paraId="09EB0303" w14:textId="31F3B44C" w:rsidR="00060ECB" w:rsidRPr="001B41F7" w:rsidRDefault="00060ECB" w:rsidP="001B41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1B41F7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</w:t>
      </w:r>
      <w:r w:rsidR="001B41F7">
        <w:rPr>
          <w:rFonts w:ascii="Arial" w:hAnsi="Arial" w:cs="Arial"/>
        </w:rPr>
        <w:t>c</w:t>
      </w:r>
      <w:r w:rsidR="001B41F7" w:rsidRPr="001B41F7">
        <w:rPr>
          <w:rFonts w:ascii="Arial" w:hAnsi="Arial" w:cs="Arial"/>
        </w:rPr>
        <w:t xml:space="preserve">onforme normativos do CAU, a atividade de ‘projeto de instalações </w:t>
      </w:r>
      <w:proofErr w:type="spellStart"/>
      <w:r w:rsidR="001B41F7" w:rsidRPr="001B41F7">
        <w:rPr>
          <w:rFonts w:ascii="Arial" w:hAnsi="Arial" w:cs="Arial"/>
        </w:rPr>
        <w:t>hidrossanitárias</w:t>
      </w:r>
      <w:proofErr w:type="spellEnd"/>
      <w:r w:rsidR="001B41F7" w:rsidRPr="001B41F7">
        <w:rPr>
          <w:rFonts w:ascii="Arial" w:hAnsi="Arial" w:cs="Arial"/>
        </w:rPr>
        <w:t>’ engloba “ (...) o dimensionamento e desenho detalhado do destino final dos efluentes (estação de tratamento, fossa/ sumidouro, valas de infiltração), necessárias ao desenvolvimento normal da</w:t>
      </w:r>
      <w:r w:rsidR="001B41F7">
        <w:rPr>
          <w:rFonts w:ascii="Arial" w:hAnsi="Arial" w:cs="Arial"/>
        </w:rPr>
        <w:t xml:space="preserve">s atividades nas edificações”, sendo assim desnecessário colocar no campo descrição, a </w:t>
      </w:r>
      <w:r w:rsidR="001B41F7" w:rsidRPr="001B41F7">
        <w:rPr>
          <w:rFonts w:ascii="Arial" w:hAnsi="Arial" w:cs="Arial"/>
        </w:rPr>
        <w:t>atividade tratamento de efluentes domiciliares</w:t>
      </w:r>
      <w:r w:rsidR="001B41F7">
        <w:rPr>
          <w:rFonts w:ascii="Arial" w:hAnsi="Arial" w:cs="Arial"/>
        </w:rPr>
        <w:t>;</w:t>
      </w:r>
    </w:p>
    <w:p w14:paraId="2F0169C6" w14:textId="7A5B0CE4" w:rsidR="00033F4D" w:rsidRDefault="00033F4D" w:rsidP="00033F4D">
      <w:pPr>
        <w:jc w:val="both"/>
        <w:rPr>
          <w:rFonts w:ascii="Arial" w:hAnsi="Arial" w:cs="Arial"/>
          <w:b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452CFD06" w14:textId="3E52220F" w:rsidR="00033F4D" w:rsidRDefault="009B5583" w:rsidP="008E52F5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trike/>
        </w:rPr>
      </w:pPr>
      <w:r w:rsidRPr="007D7C20">
        <w:rPr>
          <w:rFonts w:ascii="Arial" w:hAnsi="Arial" w:cs="Arial"/>
          <w:strike/>
        </w:rPr>
        <w:t xml:space="preserve">Aprovar a minuta de oficio orientativo </w:t>
      </w:r>
      <w:r w:rsidR="008E52F5" w:rsidRPr="007D7C20">
        <w:rPr>
          <w:rFonts w:ascii="Arial" w:hAnsi="Arial" w:cs="Arial"/>
          <w:strike/>
        </w:rPr>
        <w:t xml:space="preserve">para encaminhar </w:t>
      </w:r>
      <w:r w:rsidRPr="007D7C20">
        <w:rPr>
          <w:rFonts w:ascii="Arial" w:hAnsi="Arial" w:cs="Arial"/>
          <w:strike/>
        </w:rPr>
        <w:t xml:space="preserve">à Prefeitura </w:t>
      </w:r>
      <w:r w:rsidR="008E52F5" w:rsidRPr="007D7C20">
        <w:rPr>
          <w:rFonts w:ascii="Arial" w:hAnsi="Arial" w:cs="Arial"/>
          <w:strike/>
        </w:rPr>
        <w:t xml:space="preserve">Municipal de Palhoça, informando, que conforme normativos do CAU, a atividade de ‘projeto de instalações </w:t>
      </w:r>
      <w:proofErr w:type="spellStart"/>
      <w:r w:rsidR="008E52F5" w:rsidRPr="007D7C20">
        <w:rPr>
          <w:rFonts w:ascii="Arial" w:hAnsi="Arial" w:cs="Arial"/>
          <w:strike/>
        </w:rPr>
        <w:t>hidrossanitárias</w:t>
      </w:r>
      <w:proofErr w:type="spellEnd"/>
      <w:r w:rsidR="003E455B" w:rsidRPr="007D7C20">
        <w:rPr>
          <w:rFonts w:ascii="Arial" w:hAnsi="Arial" w:cs="Arial"/>
          <w:strike/>
        </w:rPr>
        <w:t>’</w:t>
      </w:r>
      <w:r w:rsidR="008E52F5" w:rsidRPr="007D7C20">
        <w:rPr>
          <w:rFonts w:ascii="Arial" w:hAnsi="Arial" w:cs="Arial"/>
          <w:strike/>
        </w:rPr>
        <w:t xml:space="preserve"> engloba “ (...) o dimensionamento e desenho detalhado do destino final dos efluentes (estação de tratamento, fossa/ sumidouro, valas de infiltração), necessárias ao desenvolvimento normal das atividades nas edificações”</w:t>
      </w:r>
    </w:p>
    <w:p w14:paraId="6FF1620D" w14:textId="1CA4C22E" w:rsidR="007D7C20" w:rsidRPr="007D7C20" w:rsidRDefault="007D7C20" w:rsidP="007D7C20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hyperlink r:id="rId8" w:history="1">
        <w:r w:rsidRPr="007D7C20">
          <w:rPr>
            <w:rStyle w:val="Hyperlink"/>
            <w:rFonts w:ascii="Arial" w:hAnsi="Arial" w:cs="Arial"/>
          </w:rPr>
          <w:t>Texto revogado pela Deliberação nº 116 de 2020 da CEP</w:t>
        </w:r>
      </w:hyperlink>
      <w:r>
        <w:rPr>
          <w:rFonts w:ascii="Arial" w:hAnsi="Arial" w:cs="Arial"/>
        </w:rPr>
        <w:t>)</w:t>
      </w:r>
    </w:p>
    <w:p w14:paraId="244BD1F7" w14:textId="77777777" w:rsidR="00090652" w:rsidRPr="001319F8" w:rsidRDefault="00090652" w:rsidP="008E52F5">
      <w:pPr>
        <w:pStyle w:val="PargrafodaLista"/>
        <w:jc w:val="both"/>
        <w:rPr>
          <w:rFonts w:ascii="Arial" w:hAnsi="Arial" w:cs="Arial"/>
        </w:rPr>
      </w:pPr>
    </w:p>
    <w:p w14:paraId="69F3A053" w14:textId="77777777" w:rsidR="00033F4D" w:rsidRPr="0003760A" w:rsidRDefault="00033F4D" w:rsidP="00033F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0E3CBBCF" w14:textId="77777777" w:rsidR="007D7C20" w:rsidRDefault="00C33135" w:rsidP="007D7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863211" w:rsidRPr="00AC1173">
        <w:rPr>
          <w:rFonts w:ascii="Arial" w:hAnsi="Arial" w:cs="Arial"/>
        </w:rPr>
        <w:t xml:space="preserve">da </w:t>
      </w:r>
      <w:r w:rsidR="007D7C20">
        <w:rPr>
          <w:rFonts w:ascii="Arial" w:hAnsi="Arial" w:cs="Arial"/>
        </w:rPr>
        <w:t xml:space="preserve">Deliberação Plenária nº 489/2020. </w:t>
      </w:r>
    </w:p>
    <w:p w14:paraId="4AFDA0A2" w14:textId="2E42D312" w:rsidR="007D7C20" w:rsidRDefault="007D7C20" w:rsidP="007D7C20">
      <w:pPr>
        <w:jc w:val="center"/>
        <w:rPr>
          <w:rFonts w:ascii="Arial" w:hAnsi="Arial" w:cs="Arial"/>
        </w:rPr>
      </w:pPr>
    </w:p>
    <w:p w14:paraId="7F0835AC" w14:textId="77777777" w:rsidR="007D7C20" w:rsidRDefault="007D7C20" w:rsidP="007D7C20">
      <w:pPr>
        <w:jc w:val="center"/>
        <w:rPr>
          <w:rFonts w:ascii="Arial" w:hAnsi="Arial" w:cs="Arial"/>
        </w:rPr>
      </w:pPr>
    </w:p>
    <w:p w14:paraId="79000AFB" w14:textId="77777777" w:rsidR="007D7C20" w:rsidRDefault="007D7C20" w:rsidP="007D7C20">
      <w:pPr>
        <w:jc w:val="center"/>
        <w:rPr>
          <w:rFonts w:ascii="Arial" w:hAnsi="Arial" w:cs="Arial"/>
        </w:rPr>
      </w:pPr>
    </w:p>
    <w:p w14:paraId="11B236FF" w14:textId="77777777" w:rsidR="007D7C20" w:rsidRDefault="007D7C20" w:rsidP="007D7C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7CF49931" w14:textId="77777777" w:rsidR="007D7C20" w:rsidRDefault="007D7C20" w:rsidP="007D7C2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4EA5F4B8" w14:textId="77777777" w:rsidR="007D7C20" w:rsidRDefault="007D7C20" w:rsidP="007D7C20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31D9D6E" w14:textId="4FAA23DD" w:rsidR="00863211" w:rsidRDefault="00863211" w:rsidP="007D7C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AEA3BB" w14:textId="77777777" w:rsidR="00863211" w:rsidRDefault="00863211" w:rsidP="00863211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04604454" w14:textId="5686F235" w:rsidR="00C33135" w:rsidRPr="00591B0A" w:rsidRDefault="00C33135" w:rsidP="00863211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C2A106C" w14:textId="77777777" w:rsidR="00C33135" w:rsidRPr="00591B0A" w:rsidRDefault="00C33135" w:rsidP="00C3313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4C4EB21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17D4068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33135" w:rsidRPr="00591B0A" w14:paraId="47F1562E" w14:textId="77777777" w:rsidTr="0006132D">
        <w:tc>
          <w:tcPr>
            <w:tcW w:w="5807" w:type="dxa"/>
            <w:vMerge w:val="restart"/>
            <w:shd w:val="clear" w:color="auto" w:fill="auto"/>
            <w:vAlign w:val="center"/>
          </w:tcPr>
          <w:p w14:paraId="7D1CB383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11FB1B5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33135" w:rsidRPr="00591B0A" w14:paraId="09928D38" w14:textId="77777777" w:rsidTr="0006132D">
        <w:tc>
          <w:tcPr>
            <w:tcW w:w="5807" w:type="dxa"/>
            <w:vMerge/>
            <w:shd w:val="clear" w:color="auto" w:fill="auto"/>
            <w:vAlign w:val="center"/>
          </w:tcPr>
          <w:p w14:paraId="1083EBFE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013B7A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386BF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5158B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DF84C44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33135" w:rsidRPr="00591B0A" w14:paraId="67D45B64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405FE1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AB1FF7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F62FC9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93D89B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2E9A10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33135" w:rsidRPr="00591B0A" w14:paraId="306DDC12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C30C34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B810EA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6DBBAC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1C58714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DC030D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33135" w:rsidRPr="00591B0A" w14:paraId="30EE37C9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A069EC" w14:textId="77777777" w:rsidR="00C33135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C2BE0" w14:textId="77777777" w:rsidR="00C33135" w:rsidRPr="00F43A54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FBD924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C5F1D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BDC63D1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DDED690" w14:textId="77777777" w:rsidR="00C33135" w:rsidRPr="00591B0A" w:rsidRDefault="00C33135" w:rsidP="00C3313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33135" w:rsidRPr="00591B0A" w14:paraId="5383B55C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8DA2329" w14:textId="77777777" w:rsidR="00C33135" w:rsidRPr="008F70BF" w:rsidRDefault="00C33135" w:rsidP="0006132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33135" w:rsidRPr="00591B0A" w14:paraId="414DF808" w14:textId="77777777" w:rsidTr="0006132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ED15F9D" w14:textId="3F6E27D9" w:rsidR="00C33135" w:rsidRPr="008F70BF" w:rsidRDefault="00C33135" w:rsidP="00C331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33135" w:rsidRPr="00591B0A" w14:paraId="3F89F585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7311742" w14:textId="03956679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61561C56" w14:textId="1CC3A161" w:rsidR="00C33135" w:rsidRPr="008F70BF" w:rsidRDefault="00C33135" w:rsidP="002A177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A177C">
              <w:rPr>
                <w:rFonts w:ascii="Arial" w:eastAsia="Times New Roman" w:hAnsi="Arial" w:cs="Arial"/>
                <w:color w:val="000000"/>
                <w:lang w:eastAsia="pt-BR"/>
              </w:rPr>
              <w:t>Oficio orientativo para a Prefeitura de Palhoça</w:t>
            </w:r>
          </w:p>
        </w:tc>
      </w:tr>
      <w:tr w:rsidR="00C33135" w:rsidRPr="00591B0A" w14:paraId="5B84B936" w14:textId="77777777" w:rsidTr="0006132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A9CC6D6" w14:textId="77777777" w:rsidR="00C33135" w:rsidRPr="008F70BF" w:rsidRDefault="00C33135" w:rsidP="0006132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C33135" w:rsidRPr="00591B0A" w14:paraId="6E1EB318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C232AC" w14:textId="77777777" w:rsidR="00C33135" w:rsidRPr="00591B0A" w:rsidRDefault="00C33135" w:rsidP="0006132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C33135" w:rsidRPr="00591B0A" w14:paraId="32D7E85D" w14:textId="77777777" w:rsidTr="0006132D">
        <w:trPr>
          <w:trHeight w:val="257"/>
        </w:trPr>
        <w:tc>
          <w:tcPr>
            <w:tcW w:w="4530" w:type="dxa"/>
            <w:shd w:val="clear" w:color="auto" w:fill="D9D9D9"/>
          </w:tcPr>
          <w:p w14:paraId="2AC98BEB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10974F0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1FFA1513" w14:textId="77777777" w:rsidR="00C33135" w:rsidRDefault="00C33135" w:rsidP="00C33135">
      <w:pPr>
        <w:jc w:val="both"/>
        <w:rPr>
          <w:rFonts w:ascii="Arial" w:hAnsi="Arial" w:cs="Arial"/>
        </w:rPr>
      </w:pPr>
    </w:p>
    <w:p w14:paraId="580732D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27368A7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6C4CF996" w:rsidR="00A575A3" w:rsidRDefault="00A575A3" w:rsidP="00F35EFD">
      <w:pPr>
        <w:jc w:val="both"/>
        <w:rPr>
          <w:rFonts w:ascii="Arial" w:hAnsi="Arial" w:cs="Arial"/>
        </w:rPr>
      </w:pPr>
    </w:p>
    <w:p w14:paraId="600FD46B" w14:textId="5A55007C" w:rsidR="002727ED" w:rsidRDefault="002727ED" w:rsidP="00F35EFD">
      <w:pPr>
        <w:jc w:val="both"/>
        <w:rPr>
          <w:rFonts w:ascii="Arial" w:hAnsi="Arial" w:cs="Arial"/>
        </w:rPr>
      </w:pPr>
    </w:p>
    <w:p w14:paraId="0A00794E" w14:textId="4F3A5A29" w:rsidR="002727ED" w:rsidRDefault="002727ED" w:rsidP="00F35EFD">
      <w:pPr>
        <w:jc w:val="both"/>
        <w:rPr>
          <w:rFonts w:ascii="Arial" w:hAnsi="Arial" w:cs="Arial"/>
        </w:rPr>
      </w:pPr>
    </w:p>
    <w:p w14:paraId="0CA1B2E9" w14:textId="32594A38" w:rsidR="002727ED" w:rsidRDefault="002727ED" w:rsidP="00F35EFD">
      <w:pPr>
        <w:jc w:val="both"/>
        <w:rPr>
          <w:rFonts w:ascii="Arial" w:hAnsi="Arial" w:cs="Arial"/>
        </w:rPr>
      </w:pPr>
    </w:p>
    <w:p w14:paraId="26811B50" w14:textId="4201A527" w:rsidR="002727ED" w:rsidRDefault="002727ED" w:rsidP="00F35EFD">
      <w:pPr>
        <w:jc w:val="both"/>
        <w:rPr>
          <w:rFonts w:ascii="Arial" w:hAnsi="Arial" w:cs="Arial"/>
        </w:rPr>
      </w:pPr>
    </w:p>
    <w:p w14:paraId="5429A1E2" w14:textId="5C343756" w:rsidR="002727ED" w:rsidRDefault="002727ED" w:rsidP="00F35EFD">
      <w:pPr>
        <w:jc w:val="both"/>
        <w:rPr>
          <w:rFonts w:ascii="Arial" w:hAnsi="Arial" w:cs="Arial"/>
        </w:rPr>
      </w:pPr>
    </w:p>
    <w:p w14:paraId="5A3BCF15" w14:textId="43844799" w:rsidR="002727ED" w:rsidRDefault="002727ED" w:rsidP="00F35EFD">
      <w:pPr>
        <w:jc w:val="both"/>
        <w:rPr>
          <w:rFonts w:ascii="Arial" w:hAnsi="Arial" w:cs="Arial"/>
        </w:rPr>
      </w:pPr>
    </w:p>
    <w:p w14:paraId="44BB92CC" w14:textId="6AFB6A42" w:rsidR="002727ED" w:rsidRDefault="002727ED" w:rsidP="00F35EFD">
      <w:pPr>
        <w:jc w:val="both"/>
        <w:rPr>
          <w:rFonts w:ascii="Arial" w:hAnsi="Arial" w:cs="Arial"/>
        </w:rPr>
      </w:pPr>
    </w:p>
    <w:p w14:paraId="4A285120" w14:textId="07BD08E1" w:rsidR="002727ED" w:rsidRDefault="002727ED" w:rsidP="00F35EFD">
      <w:pPr>
        <w:jc w:val="both"/>
        <w:rPr>
          <w:rFonts w:ascii="Arial" w:hAnsi="Arial" w:cs="Arial"/>
        </w:rPr>
      </w:pPr>
    </w:p>
    <w:p w14:paraId="7A0A4174" w14:textId="767DF54D" w:rsidR="002727ED" w:rsidRDefault="002727ED" w:rsidP="00F35EFD">
      <w:pPr>
        <w:jc w:val="both"/>
        <w:rPr>
          <w:rFonts w:ascii="Arial" w:hAnsi="Arial" w:cs="Arial"/>
        </w:rPr>
      </w:pPr>
    </w:p>
    <w:p w14:paraId="5938760B" w14:textId="5386928D" w:rsidR="002727ED" w:rsidRDefault="002727ED" w:rsidP="002727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ANEXO</w:t>
      </w:r>
    </w:p>
    <w:p w14:paraId="5F502C30" w14:textId="77777777" w:rsidR="002727ED" w:rsidRPr="008C2B48" w:rsidRDefault="002727ED" w:rsidP="002727ED">
      <w:pPr>
        <w:spacing w:before="120" w:after="120"/>
        <w:ind w:right="-1"/>
        <w:jc w:val="right"/>
        <w:rPr>
          <w:rFonts w:cs="Tahoma"/>
        </w:rPr>
      </w:pPr>
      <w:r w:rsidRPr="008C2B48">
        <w:rPr>
          <w:rFonts w:cs="Tahoma"/>
        </w:rPr>
        <w:t xml:space="preserve">Florianópolis/SC, </w:t>
      </w:r>
      <w:r w:rsidRPr="00382BBC">
        <w:rPr>
          <w:rFonts w:cs="Tahoma"/>
          <w:highlight w:val="yellow"/>
        </w:rPr>
        <w:t>XX</w:t>
      </w:r>
      <w:r>
        <w:rPr>
          <w:rFonts w:cs="Tahoma"/>
        </w:rPr>
        <w:t xml:space="preserve"> de agosto de 2020</w:t>
      </w:r>
      <w:r w:rsidRPr="008C2B48">
        <w:rPr>
          <w:rFonts w:cs="Tahoma"/>
        </w:rPr>
        <w:t>.</w:t>
      </w:r>
    </w:p>
    <w:p w14:paraId="21BC1B96" w14:textId="77777777" w:rsidR="002727ED" w:rsidRPr="008C2B48" w:rsidRDefault="002727ED" w:rsidP="002727ED">
      <w:pPr>
        <w:spacing w:before="120" w:after="120"/>
        <w:ind w:right="-1"/>
        <w:rPr>
          <w:rFonts w:cs="Tahoma"/>
        </w:rPr>
      </w:pPr>
    </w:p>
    <w:p w14:paraId="487AFD6B" w14:textId="77777777" w:rsidR="002727ED" w:rsidRPr="008C2B48" w:rsidRDefault="002727ED" w:rsidP="002727ED">
      <w:pPr>
        <w:spacing w:before="120" w:after="120"/>
        <w:ind w:right="-1"/>
        <w:rPr>
          <w:rFonts w:cs="Tahoma"/>
        </w:rPr>
      </w:pPr>
    </w:p>
    <w:p w14:paraId="3158C6FE" w14:textId="77777777" w:rsidR="002727ED" w:rsidRDefault="002727ED" w:rsidP="002727ED">
      <w:pPr>
        <w:spacing w:before="120" w:after="120"/>
        <w:ind w:right="-1" w:hanging="284"/>
        <w:rPr>
          <w:rFonts w:cs="Tahoma"/>
        </w:rPr>
      </w:pPr>
      <w:r w:rsidRPr="008A25A3">
        <w:rPr>
          <w:rFonts w:cs="Tahoma"/>
        </w:rPr>
        <w:t xml:space="preserve">Ofício nº </w:t>
      </w:r>
      <w:r w:rsidRPr="00382BBC">
        <w:rPr>
          <w:rFonts w:cs="Tahoma"/>
          <w:highlight w:val="yellow"/>
        </w:rPr>
        <w:t>XX</w:t>
      </w:r>
      <w:r w:rsidRPr="008A25A3">
        <w:rPr>
          <w:rFonts w:cs="Tahoma"/>
        </w:rPr>
        <w:t>/20</w:t>
      </w:r>
      <w:r>
        <w:rPr>
          <w:rFonts w:cs="Tahoma"/>
        </w:rPr>
        <w:t>20</w:t>
      </w:r>
      <w:r w:rsidRPr="008A25A3">
        <w:rPr>
          <w:rFonts w:cs="Tahoma"/>
        </w:rPr>
        <w:t>/PRES/CAUSC</w:t>
      </w:r>
    </w:p>
    <w:p w14:paraId="35D6BEF0" w14:textId="77777777" w:rsidR="002727ED" w:rsidRPr="0002428F" w:rsidRDefault="002727ED" w:rsidP="002727ED">
      <w:pPr>
        <w:spacing w:before="120" w:after="120"/>
        <w:ind w:right="-1" w:hanging="284"/>
        <w:rPr>
          <w:rFonts w:cs="Tahoma"/>
        </w:rPr>
      </w:pPr>
    </w:p>
    <w:p w14:paraId="0A67CDAA" w14:textId="77777777" w:rsidR="002727ED" w:rsidRPr="0002428F" w:rsidRDefault="002727ED" w:rsidP="002727ED">
      <w:pPr>
        <w:ind w:hanging="284"/>
        <w:rPr>
          <w:rFonts w:cs="Tahoma"/>
        </w:rPr>
      </w:pPr>
      <w:r w:rsidRPr="0002428F">
        <w:rPr>
          <w:color w:val="000000"/>
        </w:rPr>
        <w:t xml:space="preserve">Ao </w:t>
      </w:r>
      <w:proofErr w:type="spellStart"/>
      <w:r>
        <w:rPr>
          <w:color w:val="000000"/>
        </w:rPr>
        <w:t>xxxxx</w:t>
      </w:r>
      <w:proofErr w:type="spellEnd"/>
    </w:p>
    <w:p w14:paraId="4B49A961" w14:textId="77777777" w:rsidR="002727ED" w:rsidRPr="0002428F" w:rsidRDefault="002727ED" w:rsidP="002727ED">
      <w:pPr>
        <w:ind w:hanging="284"/>
        <w:rPr>
          <w:rFonts w:cs="Tahoma"/>
        </w:rPr>
      </w:pPr>
      <w:proofErr w:type="spellStart"/>
      <w:r>
        <w:rPr>
          <w:color w:val="000000"/>
        </w:rPr>
        <w:t>xxxx</w:t>
      </w:r>
      <w:proofErr w:type="spellEnd"/>
    </w:p>
    <w:p w14:paraId="63F3D809" w14:textId="77777777" w:rsidR="002727ED" w:rsidRPr="0002428F" w:rsidRDefault="002727ED" w:rsidP="002727ED">
      <w:pPr>
        <w:ind w:hanging="284"/>
        <w:rPr>
          <w:rFonts w:cs="Tahoma"/>
        </w:rPr>
      </w:pPr>
      <w:proofErr w:type="spellStart"/>
      <w:r>
        <w:rPr>
          <w:color w:val="000000"/>
        </w:rPr>
        <w:t>xxxxx</w:t>
      </w:r>
      <w:proofErr w:type="spellEnd"/>
    </w:p>
    <w:p w14:paraId="1CB3BD65" w14:textId="77777777" w:rsidR="002727ED" w:rsidRPr="008C2B48" w:rsidRDefault="002727ED" w:rsidP="002727ED">
      <w:pPr>
        <w:spacing w:before="120" w:after="120"/>
        <w:ind w:right="-1" w:hanging="284"/>
        <w:rPr>
          <w:rFonts w:cs="Tahoma"/>
        </w:rPr>
      </w:pPr>
    </w:p>
    <w:p w14:paraId="3675834A" w14:textId="77777777" w:rsidR="002727ED" w:rsidRPr="00174C6F" w:rsidRDefault="002727ED" w:rsidP="002727ED">
      <w:pPr>
        <w:spacing w:before="120" w:after="120"/>
        <w:ind w:left="-284" w:right="-1"/>
        <w:jc w:val="both"/>
        <w:rPr>
          <w:rFonts w:cs="Tahoma"/>
        </w:rPr>
      </w:pPr>
      <w:r w:rsidRPr="0090294E">
        <w:rPr>
          <w:rFonts w:cs="Tahoma"/>
        </w:rPr>
        <w:t xml:space="preserve">Assunto: </w:t>
      </w:r>
      <w:proofErr w:type="spellStart"/>
      <w:r>
        <w:rPr>
          <w:rFonts w:cs="Tahoma"/>
        </w:rPr>
        <w:t>xx</w:t>
      </w:r>
      <w:proofErr w:type="spellEnd"/>
    </w:p>
    <w:p w14:paraId="553A7F2E" w14:textId="77777777" w:rsidR="002727ED" w:rsidRDefault="002727ED" w:rsidP="002727ED">
      <w:pPr>
        <w:spacing w:before="120" w:after="120"/>
        <w:ind w:left="-284" w:right="-1"/>
        <w:jc w:val="both"/>
        <w:rPr>
          <w:rFonts w:cs="Tahoma"/>
        </w:rPr>
      </w:pPr>
    </w:p>
    <w:p w14:paraId="402DE49F" w14:textId="77777777" w:rsidR="002727ED" w:rsidRPr="00EB127E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EB127E">
        <w:rPr>
          <w:rFonts w:cs="Tahoma"/>
        </w:rPr>
        <w:t xml:space="preserve">Senhor </w:t>
      </w:r>
      <w:proofErr w:type="spellStart"/>
      <w:r>
        <w:rPr>
          <w:rFonts w:cs="Tahoma"/>
        </w:rPr>
        <w:t>xxx</w:t>
      </w:r>
      <w:proofErr w:type="spellEnd"/>
      <w:r w:rsidRPr="00EB127E">
        <w:rPr>
          <w:rFonts w:cs="Tahoma"/>
        </w:rPr>
        <w:t xml:space="preserve">, </w:t>
      </w:r>
    </w:p>
    <w:p w14:paraId="3BA88A98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O Conselho de Arquitetura e Urbanismo do Brasil, criado através da Lei 12.378/10, de 31 de dezembro de 2010, tem a função de orientar, disciplinar e fiscalizar o exercício da profissão de Arquitetura e Urbanismo, zelar pela fiel observância dos princípios de ética e disciplina da classe, bem como zelar pelo aperfeiçoamento do exercício da arquitetura e urbanismo.</w:t>
      </w:r>
    </w:p>
    <w:p w14:paraId="4BD9B319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Em Santa Catarina, o Conselho de Arquitetura e Urbanismo tem procurado sensibilizar e conscientizar a Administração Pública, acerca da importância do trabalho dos arquitetos e urbanistas e da relevância de suas diversas atribuições para a construção de espaços públicos e/ou privados eficientes e seguros.</w:t>
      </w:r>
    </w:p>
    <w:p w14:paraId="79B8A3AA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 xml:space="preserve">Verificamos, porém, que ainda há relativo desconhecimento acerca das atribuições dos Arquitetos e Urbanistas, o que prejudica tanto à atuação destes profissionais como também a construção de espaços públicos e privados seguros e eficientes, razão pela qual enviamos o presente Ofício orientativo. </w:t>
      </w:r>
    </w:p>
    <w:p w14:paraId="3B6BABF1" w14:textId="77777777" w:rsidR="002727E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9F2B18">
        <w:rPr>
          <w:rFonts w:cs="Tahoma"/>
        </w:rPr>
        <w:t xml:space="preserve">As atividades e os campos de atuação dos Arquitetos e Urbanistas estão previstos nos artigos </w:t>
      </w:r>
      <w:r>
        <w:rPr>
          <w:rFonts w:cs="Tahoma"/>
        </w:rPr>
        <w:t>2º e 3º da Lei 12.378, de 2010 e c</w:t>
      </w:r>
      <w:r w:rsidRPr="007A2334">
        <w:rPr>
          <w:rFonts w:cs="Tahoma"/>
        </w:rPr>
        <w:t xml:space="preserve">om o objetivo de regulamentar </w:t>
      </w:r>
      <w:r>
        <w:rPr>
          <w:rFonts w:cs="Tahoma"/>
        </w:rPr>
        <w:t>esta</w:t>
      </w:r>
      <w:r w:rsidRPr="007A2334">
        <w:rPr>
          <w:rFonts w:cs="Tahoma"/>
        </w:rPr>
        <w:t xml:space="preserve"> Lei, o C</w:t>
      </w:r>
      <w:r>
        <w:rPr>
          <w:rFonts w:cs="Tahoma"/>
        </w:rPr>
        <w:t>AU/BR editou a Resolução nº 21/</w:t>
      </w:r>
      <w:r w:rsidRPr="007A2334">
        <w:rPr>
          <w:rFonts w:cs="Tahoma"/>
        </w:rPr>
        <w:t>2012</w:t>
      </w:r>
      <w:r w:rsidRPr="009F2B18">
        <w:t xml:space="preserve"> </w:t>
      </w:r>
      <w:r>
        <w:t>(</w:t>
      </w:r>
      <w:r w:rsidRPr="009F2B18">
        <w:rPr>
          <w:rFonts w:cs="Tahoma"/>
        </w:rPr>
        <w:t>https://transparencia.caubr.gov.br/resolucoes/</w:t>
      </w:r>
      <w:r>
        <w:rPr>
          <w:rFonts w:cs="Tahoma"/>
        </w:rPr>
        <w:t>)</w:t>
      </w:r>
      <w:r w:rsidRPr="007A2334">
        <w:rPr>
          <w:rFonts w:cs="Tahoma"/>
        </w:rPr>
        <w:t xml:space="preserve">, que dispõe sobre as atividades e atribuições profissionais do arquiteto e urbanista. No caso específico, as atribuições estão disciplinadas no item 1 do art. 3º da citada Resolução, in </w:t>
      </w:r>
      <w:proofErr w:type="spellStart"/>
      <w:r w:rsidRPr="007A2334">
        <w:rPr>
          <w:rFonts w:cs="Tahoma"/>
        </w:rPr>
        <w:t>verbis</w:t>
      </w:r>
      <w:proofErr w:type="spellEnd"/>
      <w:r w:rsidRPr="007A2334">
        <w:rPr>
          <w:rFonts w:cs="Tahoma"/>
        </w:rPr>
        <w:t>:</w:t>
      </w:r>
    </w:p>
    <w:p w14:paraId="2CB007B5" w14:textId="77777777" w:rsidR="002727ED" w:rsidRPr="007A2334" w:rsidRDefault="002727ED" w:rsidP="002727ED">
      <w:pPr>
        <w:spacing w:before="120" w:after="120"/>
        <w:ind w:left="708" w:right="-1" w:firstLine="1135"/>
        <w:jc w:val="both"/>
        <w:rPr>
          <w:rFonts w:cs="Tahoma"/>
          <w:i/>
        </w:rPr>
      </w:pPr>
      <w:r w:rsidRPr="007A2334">
        <w:rPr>
          <w:rFonts w:cs="Tahoma"/>
          <w:i/>
        </w:rPr>
        <w:t>Art. 3° Para fins de Registro de Responsabilidade Técnica (RRT), definido em Resolução própria do CAU/BR, as atribuições profissionais dos arquitetos e urbanistas serão representadas no Sistema de Informação e Comunicação do Conselho de Arquitetura e Urbanismo (SICCAU) através das seguintes atividades:</w:t>
      </w:r>
    </w:p>
    <w:p w14:paraId="78246558" w14:textId="77777777" w:rsidR="002727ED" w:rsidRPr="0051596D" w:rsidRDefault="002727ED" w:rsidP="002727ED">
      <w:pPr>
        <w:numPr>
          <w:ilvl w:val="0"/>
          <w:numId w:val="9"/>
        </w:numPr>
        <w:spacing w:before="120" w:after="120"/>
        <w:ind w:right="-1"/>
        <w:jc w:val="both"/>
        <w:rPr>
          <w:rFonts w:cs="Tahoma"/>
          <w:b/>
        </w:rPr>
      </w:pPr>
      <w:r w:rsidRPr="0051596D">
        <w:rPr>
          <w:rFonts w:cs="Tahoma"/>
          <w:b/>
        </w:rPr>
        <w:t>PROJETO 1.1. ARQUITETURA DAS EDIFICAÇÕES</w:t>
      </w:r>
    </w:p>
    <w:p w14:paraId="2750E2D2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(...)</w:t>
      </w:r>
    </w:p>
    <w:p w14:paraId="651A63E2" w14:textId="77777777" w:rsidR="002727ED" w:rsidRPr="0051596D" w:rsidRDefault="002727ED" w:rsidP="002727ED">
      <w:pPr>
        <w:numPr>
          <w:ilvl w:val="1"/>
          <w:numId w:val="9"/>
        </w:numPr>
        <w:spacing w:before="120" w:after="120"/>
        <w:ind w:right="-1"/>
        <w:jc w:val="both"/>
        <w:rPr>
          <w:rFonts w:cs="Tahoma"/>
        </w:rPr>
      </w:pPr>
      <w:r w:rsidRPr="0051596D">
        <w:rPr>
          <w:rFonts w:cs="Tahoma"/>
        </w:rPr>
        <w:t>INSTALAÇÕES E EQUIPAMENTOS REFERENTES À ARQUITETURA</w:t>
      </w:r>
    </w:p>
    <w:p w14:paraId="4076CDE3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A24D27">
        <w:rPr>
          <w:rFonts w:cs="Tahoma"/>
        </w:rPr>
        <w:t>1.5.1 Projeto de instal</w:t>
      </w:r>
      <w:r>
        <w:rPr>
          <w:rFonts w:cs="Tahoma"/>
        </w:rPr>
        <w:t xml:space="preserve">ações </w:t>
      </w:r>
      <w:proofErr w:type="spellStart"/>
      <w:r>
        <w:rPr>
          <w:rFonts w:cs="Tahoma"/>
        </w:rPr>
        <w:t>hidrossanitárias</w:t>
      </w:r>
      <w:proofErr w:type="spellEnd"/>
      <w:r>
        <w:rPr>
          <w:rFonts w:cs="Tahoma"/>
        </w:rPr>
        <w:t xml:space="preserve"> prediais</w:t>
      </w:r>
      <w:r w:rsidRPr="0051596D">
        <w:rPr>
          <w:rFonts w:cs="Tahoma"/>
        </w:rPr>
        <w:t>;</w:t>
      </w:r>
    </w:p>
    <w:p w14:paraId="28C54FD0" w14:textId="77777777" w:rsidR="002727E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(...)</w:t>
      </w:r>
    </w:p>
    <w:p w14:paraId="3493A9F1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</w:p>
    <w:p w14:paraId="1FEB520D" w14:textId="77777777" w:rsidR="002727ED" w:rsidRPr="0051596D" w:rsidRDefault="002727ED" w:rsidP="002727ED">
      <w:pPr>
        <w:numPr>
          <w:ilvl w:val="0"/>
          <w:numId w:val="9"/>
        </w:numPr>
        <w:spacing w:before="120" w:after="120"/>
        <w:ind w:right="-1"/>
        <w:jc w:val="both"/>
        <w:rPr>
          <w:rFonts w:cs="Tahoma"/>
          <w:b/>
        </w:rPr>
      </w:pPr>
      <w:r w:rsidRPr="0051596D">
        <w:rPr>
          <w:rFonts w:cs="Tahoma"/>
          <w:b/>
        </w:rPr>
        <w:t>EXECUÇÃO 2.1. ARQUITETURA DAS EDIFICAÇÕES</w:t>
      </w:r>
    </w:p>
    <w:p w14:paraId="21B78BD9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(...)</w:t>
      </w:r>
    </w:p>
    <w:p w14:paraId="197CD67B" w14:textId="77777777" w:rsidR="002727ED" w:rsidRPr="0051596D" w:rsidRDefault="002727ED" w:rsidP="002727ED">
      <w:pPr>
        <w:numPr>
          <w:ilvl w:val="1"/>
          <w:numId w:val="9"/>
        </w:numPr>
        <w:spacing w:before="120" w:after="120"/>
        <w:ind w:right="-1"/>
        <w:jc w:val="both"/>
        <w:rPr>
          <w:rFonts w:cs="Tahoma"/>
        </w:rPr>
      </w:pPr>
      <w:r w:rsidRPr="0051596D">
        <w:rPr>
          <w:rFonts w:cs="Tahoma"/>
        </w:rPr>
        <w:t>INSTALAÇÕES E EQUIPAMENTOS REFERENTES À ARQUITETURA</w:t>
      </w:r>
    </w:p>
    <w:p w14:paraId="653CED92" w14:textId="77777777" w:rsidR="002727E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A24D27">
        <w:rPr>
          <w:rFonts w:cs="Tahoma"/>
        </w:rPr>
        <w:lastRenderedPageBreak/>
        <w:t xml:space="preserve">2.5.1. Execução de instalações </w:t>
      </w:r>
      <w:proofErr w:type="spellStart"/>
      <w:r w:rsidRPr="00A24D27">
        <w:rPr>
          <w:rFonts w:cs="Tahoma"/>
        </w:rPr>
        <w:t>hidrossanitárias</w:t>
      </w:r>
      <w:proofErr w:type="spellEnd"/>
      <w:r w:rsidRPr="00A24D27">
        <w:rPr>
          <w:rFonts w:cs="Tahoma"/>
        </w:rPr>
        <w:t xml:space="preserve"> prediais; </w:t>
      </w:r>
    </w:p>
    <w:p w14:paraId="6D72DF6A" w14:textId="77777777" w:rsidR="002727E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(...)</w:t>
      </w:r>
    </w:p>
    <w:p w14:paraId="6AF1DC7E" w14:textId="77777777" w:rsidR="002727E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 xml:space="preserve">Estas atribuições dos Arquitetos e Urbanistas se coadunam com as Diretrizes Curriculares Nacionais dos cursos de Arquitetura e Urbanismo, aprovadas pela Resolução nº 2/2010, do Conselho Nacional de Educação – Câmara de Educação Superior (CNE/CES). Consequentemente, todas as atividades e tarefas dos arquitetos e urbanistas, </w:t>
      </w:r>
      <w:proofErr w:type="spellStart"/>
      <w:r w:rsidRPr="0051596D">
        <w:rPr>
          <w:rFonts w:cs="Tahoma"/>
        </w:rPr>
        <w:t>supradescritas</w:t>
      </w:r>
      <w:proofErr w:type="spellEnd"/>
      <w:r w:rsidRPr="0051596D">
        <w:rPr>
          <w:rFonts w:cs="Tahoma"/>
        </w:rPr>
        <w:t xml:space="preserve"> encontram correspondência direta nas grades curriculares dos cursos de graduação na área.</w:t>
      </w:r>
    </w:p>
    <w:p w14:paraId="5BA4B8B2" w14:textId="77777777" w:rsidR="002727ED" w:rsidRPr="00A24D27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A0983">
        <w:rPr>
          <w:rFonts w:cs="Tahoma"/>
        </w:rPr>
        <w:t>No que concerne</w:t>
      </w:r>
      <w:r>
        <w:rPr>
          <w:rFonts w:cs="Tahoma"/>
        </w:rPr>
        <w:t xml:space="preserve"> ao Procedimento adotado pelo </w:t>
      </w:r>
      <w:r w:rsidRPr="009934FF">
        <w:rPr>
          <w:rFonts w:cs="Tahoma"/>
        </w:rPr>
        <w:t>setor de análise de projetos da Prefeitura de Palhoça</w:t>
      </w:r>
      <w:r>
        <w:rPr>
          <w:rFonts w:cs="Tahoma"/>
        </w:rPr>
        <w:t xml:space="preserve"> em</w:t>
      </w:r>
      <w:r w:rsidRPr="009934FF">
        <w:rPr>
          <w:rFonts w:cs="Tahoma"/>
        </w:rPr>
        <w:t xml:space="preserve"> março/2018, passando a exigir que os Engenheiros anotem a atividade</w:t>
      </w:r>
      <w:r>
        <w:rPr>
          <w:rFonts w:cs="Tahoma"/>
        </w:rPr>
        <w:t xml:space="preserve"> de</w:t>
      </w:r>
      <w:r w:rsidRPr="009934FF">
        <w:rPr>
          <w:rFonts w:cs="Tahoma"/>
        </w:rPr>
        <w:t xml:space="preserve"> tratamento de efluentes domiciliares na ART e os Arquitetos e Urbanista informem no campo descrição que estão r</w:t>
      </w:r>
      <w:r>
        <w:rPr>
          <w:rFonts w:cs="Tahoma"/>
        </w:rPr>
        <w:t>ealizando esta atividade no RRT,</w:t>
      </w:r>
      <w:r w:rsidRPr="009934FF">
        <w:t xml:space="preserve"> </w:t>
      </w:r>
      <w:r>
        <w:rPr>
          <w:rFonts w:cs="Tahoma"/>
        </w:rPr>
        <w:t>objetivando</w:t>
      </w:r>
      <w:r w:rsidRPr="009934FF">
        <w:rPr>
          <w:rFonts w:cs="Tahoma"/>
        </w:rPr>
        <w:t xml:space="preserve"> garantir a destinação correta para os efluentes, </w:t>
      </w:r>
      <w:r>
        <w:rPr>
          <w:rFonts w:cs="Tahoma"/>
        </w:rPr>
        <w:t>com a informação</w:t>
      </w:r>
      <w:r w:rsidRPr="009934FF">
        <w:rPr>
          <w:rFonts w:cs="Tahoma"/>
        </w:rPr>
        <w:t xml:space="preserve"> que de fato projetou e executou um sistema de tratamento dos efluentes domiciliares</w:t>
      </w:r>
      <w:r>
        <w:rPr>
          <w:rFonts w:cs="Tahoma"/>
        </w:rPr>
        <w:t>.</w:t>
      </w:r>
    </w:p>
    <w:p w14:paraId="594E664B" w14:textId="77777777" w:rsidR="002727E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A24D27">
        <w:rPr>
          <w:rFonts w:cs="Tahoma"/>
        </w:rPr>
        <w:t xml:space="preserve">Conforme normativos do CAU, a atividade de ‘projeto de instalações </w:t>
      </w:r>
      <w:proofErr w:type="spellStart"/>
      <w:r w:rsidRPr="00A24D27">
        <w:rPr>
          <w:rFonts w:cs="Tahoma"/>
        </w:rPr>
        <w:t>hidrossanitárias</w:t>
      </w:r>
      <w:proofErr w:type="spellEnd"/>
      <w:r w:rsidRPr="00A24D27">
        <w:rPr>
          <w:rFonts w:cs="Tahoma"/>
        </w:rPr>
        <w:t>’ engloba “ (...) o dimensionamento e desenho detalhado do destino final dos efluentes (estação de tratamento, fossa/ sumidouro, valas de infiltração), necessárias ao desenvolvimento normal das atividades nas edificações”. Desta forma, o Arquiteto e Urbanista</w:t>
      </w:r>
      <w:r>
        <w:rPr>
          <w:rFonts w:cs="Tahoma"/>
        </w:rPr>
        <w:t xml:space="preserve"> que</w:t>
      </w:r>
      <w:r w:rsidRPr="00A24D27">
        <w:rPr>
          <w:rFonts w:cs="Tahoma"/>
        </w:rPr>
        <w:t xml:space="preserve"> registrou a atividade técnica ‘projeto de instalações </w:t>
      </w:r>
      <w:proofErr w:type="spellStart"/>
      <w:r w:rsidRPr="00A24D27">
        <w:rPr>
          <w:rFonts w:cs="Tahoma"/>
        </w:rPr>
        <w:t>hidrossanitárias</w:t>
      </w:r>
      <w:proofErr w:type="spellEnd"/>
      <w:r w:rsidRPr="00A24D27">
        <w:rPr>
          <w:rFonts w:cs="Tahoma"/>
        </w:rPr>
        <w:t xml:space="preserve">’, obrigatoriamente estará se responsabilizando pelo ‘destino final dos efluentes’, portanto só NÃO </w:t>
      </w:r>
      <w:r>
        <w:rPr>
          <w:rFonts w:cs="Tahoma"/>
        </w:rPr>
        <w:t>será responsável</w:t>
      </w:r>
      <w:r w:rsidRPr="00A24D27">
        <w:rPr>
          <w:rFonts w:cs="Tahoma"/>
        </w:rPr>
        <w:t xml:space="preserve"> se informar no campo descrição que NÃO realizou o dimensionamento do destino final dos efluentes. </w:t>
      </w:r>
    </w:p>
    <w:p w14:paraId="2FB73F16" w14:textId="77777777" w:rsidR="002727ED" w:rsidRPr="0051596D" w:rsidRDefault="002727ED" w:rsidP="002727ED">
      <w:pPr>
        <w:spacing w:before="120" w:after="120"/>
        <w:ind w:left="-284" w:right="-1" w:firstLine="1135"/>
        <w:jc w:val="both"/>
        <w:rPr>
          <w:rFonts w:cs="Tahoma"/>
        </w:rPr>
      </w:pPr>
      <w:r w:rsidRPr="0051596D">
        <w:rPr>
          <w:rFonts w:cs="Tahoma"/>
        </w:rPr>
        <w:t>Estamos convictos de que a atuação conjunta ou em parceria com entidades públicas e privadas que atuem no Estado pode contribuir sobremaneira não somente para alcançarmos nossa missão institucional de propiciar a valorização da Arquitetura e Urbanismo, mas também para satisfazermos outros interesses públicos de nossa sociedade.</w:t>
      </w:r>
    </w:p>
    <w:p w14:paraId="23FC01CA" w14:textId="77777777" w:rsidR="002727ED" w:rsidRPr="0051596D" w:rsidRDefault="002727ED" w:rsidP="002727ED">
      <w:pPr>
        <w:spacing w:before="120" w:after="120"/>
        <w:ind w:right="-1" w:firstLine="851"/>
        <w:jc w:val="both"/>
        <w:rPr>
          <w:rFonts w:cs="Tahoma"/>
        </w:rPr>
      </w:pPr>
      <w:r w:rsidRPr="0051596D">
        <w:rPr>
          <w:rFonts w:cs="Tahoma"/>
        </w:rPr>
        <w:t>Sendo o que se apresenta na oportunidade, receba nossas cordiais saudações.</w:t>
      </w:r>
    </w:p>
    <w:p w14:paraId="15DD7136" w14:textId="77777777" w:rsidR="002727ED" w:rsidRPr="0051596D" w:rsidRDefault="002727ED" w:rsidP="002727ED">
      <w:pPr>
        <w:spacing w:before="120" w:after="120"/>
        <w:ind w:right="-1"/>
        <w:jc w:val="both"/>
        <w:rPr>
          <w:rFonts w:cs="Tahoma"/>
        </w:rPr>
      </w:pPr>
    </w:p>
    <w:p w14:paraId="6B4CDB63" w14:textId="77777777" w:rsidR="002727ED" w:rsidRPr="008C2B48" w:rsidRDefault="002727ED" w:rsidP="002727ED">
      <w:pPr>
        <w:spacing w:before="120" w:after="120"/>
        <w:ind w:right="-1" w:firstLine="851"/>
        <w:jc w:val="both"/>
        <w:rPr>
          <w:rFonts w:cs="Tahoma"/>
        </w:rPr>
      </w:pPr>
      <w:r w:rsidRPr="008C2B48">
        <w:rPr>
          <w:rFonts w:cs="Tahoma"/>
        </w:rPr>
        <w:t>Atenciosamente,</w:t>
      </w:r>
    </w:p>
    <w:p w14:paraId="7E895CB2" w14:textId="77777777" w:rsidR="002727ED" w:rsidRDefault="002727ED" w:rsidP="002727ED">
      <w:pPr>
        <w:spacing w:before="120" w:after="120"/>
        <w:ind w:right="-1"/>
        <w:rPr>
          <w:rFonts w:cs="Tahoma"/>
        </w:rPr>
      </w:pPr>
    </w:p>
    <w:p w14:paraId="76B6230E" w14:textId="77777777" w:rsidR="002727ED" w:rsidRDefault="002727ED" w:rsidP="002727ED">
      <w:pPr>
        <w:spacing w:before="120" w:after="120"/>
        <w:ind w:right="-1"/>
        <w:rPr>
          <w:rFonts w:cs="Tahoma"/>
        </w:rPr>
      </w:pPr>
    </w:p>
    <w:p w14:paraId="446BBCCF" w14:textId="77777777" w:rsidR="002727ED" w:rsidRPr="008C2B48" w:rsidRDefault="002727ED" w:rsidP="002727ED">
      <w:pPr>
        <w:spacing w:before="120" w:after="120"/>
        <w:ind w:right="-1"/>
        <w:rPr>
          <w:rFonts w:cs="Tahoma"/>
        </w:rPr>
      </w:pPr>
    </w:p>
    <w:p w14:paraId="74371A40" w14:textId="77777777" w:rsidR="002727ED" w:rsidRPr="008C2B48" w:rsidRDefault="002727ED" w:rsidP="002727ED">
      <w:pPr>
        <w:ind w:right="-1" w:firstLine="851"/>
        <w:jc w:val="center"/>
        <w:rPr>
          <w:rFonts w:cs="Tahoma"/>
        </w:rPr>
      </w:pPr>
      <w:r w:rsidRPr="008C2B48">
        <w:rPr>
          <w:rFonts w:cs="Tahoma"/>
        </w:rPr>
        <w:t>_______________________________________</w:t>
      </w:r>
    </w:p>
    <w:p w14:paraId="00F70D47" w14:textId="77777777" w:rsidR="002727ED" w:rsidRDefault="002727ED" w:rsidP="002727ED">
      <w:pPr>
        <w:ind w:left="-284" w:firstLine="1134"/>
        <w:jc w:val="center"/>
        <w:rPr>
          <w:rFonts w:cs="Tahoma"/>
        </w:rPr>
      </w:pPr>
      <w:r w:rsidRPr="002002BF">
        <w:rPr>
          <w:rFonts w:cs="Tahoma"/>
        </w:rPr>
        <w:t>Daniela Pareja Garcia Sarmento</w:t>
      </w:r>
    </w:p>
    <w:p w14:paraId="20C5125E" w14:textId="77777777" w:rsidR="002727ED" w:rsidRPr="00BA2235" w:rsidRDefault="002727ED" w:rsidP="002727ED">
      <w:pPr>
        <w:ind w:left="-284" w:firstLine="1134"/>
        <w:jc w:val="center"/>
        <w:rPr>
          <w:rFonts w:cs="Tahoma"/>
        </w:rPr>
      </w:pPr>
      <w:r w:rsidRPr="00BA2235">
        <w:rPr>
          <w:rFonts w:cs="Tahoma"/>
        </w:rPr>
        <w:t>Arquitet</w:t>
      </w:r>
      <w:r>
        <w:rPr>
          <w:rFonts w:cs="Tahoma"/>
        </w:rPr>
        <w:t>a</w:t>
      </w:r>
      <w:r w:rsidRPr="00BA2235">
        <w:rPr>
          <w:rFonts w:cs="Tahoma"/>
        </w:rPr>
        <w:t xml:space="preserve"> e Urbanista</w:t>
      </w:r>
    </w:p>
    <w:p w14:paraId="435E751E" w14:textId="77777777" w:rsidR="002727ED" w:rsidRDefault="002727ED" w:rsidP="002727ED">
      <w:pPr>
        <w:ind w:left="-284" w:firstLine="1134"/>
        <w:jc w:val="center"/>
        <w:rPr>
          <w:rFonts w:cs="Tahoma"/>
        </w:rPr>
      </w:pPr>
      <w:r w:rsidRPr="00BA2235">
        <w:rPr>
          <w:rFonts w:cs="Tahoma"/>
        </w:rPr>
        <w:t>Presidente CAU/SC</w:t>
      </w:r>
    </w:p>
    <w:p w14:paraId="5FFF46E8" w14:textId="77777777" w:rsidR="002727ED" w:rsidRDefault="002727ED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7860BBA" w14:textId="77777777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7777777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9"/>
      <w:footerReference w:type="even" r:id="rId10"/>
      <w:footerReference w:type="default" r:id="rId11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DDCCC" w14:textId="77777777" w:rsidR="00CF7B43" w:rsidRDefault="00CF7B43" w:rsidP="00480328">
      <w:r>
        <w:separator/>
      </w:r>
    </w:p>
  </w:endnote>
  <w:endnote w:type="continuationSeparator" w:id="0">
    <w:p w14:paraId="1697F6F8" w14:textId="77777777" w:rsidR="00CF7B43" w:rsidRDefault="00CF7B4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E28B0" w14:textId="77777777" w:rsidR="00CF7B43" w:rsidRDefault="00CF7B43" w:rsidP="00480328">
      <w:r>
        <w:separator/>
      </w:r>
    </w:p>
  </w:footnote>
  <w:footnote w:type="continuationSeparator" w:id="0">
    <w:p w14:paraId="5E847583" w14:textId="77777777" w:rsidR="00CF7B43" w:rsidRDefault="00CF7B4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F3A92"/>
    <w:multiLevelType w:val="multilevel"/>
    <w:tmpl w:val="36082960"/>
    <w:lvl w:ilvl="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4" w:hanging="2160"/>
      </w:pPr>
      <w:rPr>
        <w:rFonts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0ECB"/>
    <w:rsid w:val="0006391C"/>
    <w:rsid w:val="00076ACF"/>
    <w:rsid w:val="00090652"/>
    <w:rsid w:val="000A6330"/>
    <w:rsid w:val="000B3304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1B41F7"/>
    <w:rsid w:val="00224F00"/>
    <w:rsid w:val="002313FA"/>
    <w:rsid w:val="0024303B"/>
    <w:rsid w:val="002727ED"/>
    <w:rsid w:val="0027678A"/>
    <w:rsid w:val="002A177C"/>
    <w:rsid w:val="002B55E4"/>
    <w:rsid w:val="002C0612"/>
    <w:rsid w:val="002D1D7E"/>
    <w:rsid w:val="002F1397"/>
    <w:rsid w:val="003362B6"/>
    <w:rsid w:val="00367DE3"/>
    <w:rsid w:val="003B4522"/>
    <w:rsid w:val="003C76AE"/>
    <w:rsid w:val="003D7349"/>
    <w:rsid w:val="003E26BA"/>
    <w:rsid w:val="003E455B"/>
    <w:rsid w:val="003E6CFE"/>
    <w:rsid w:val="00410C09"/>
    <w:rsid w:val="00425319"/>
    <w:rsid w:val="0044674B"/>
    <w:rsid w:val="00473643"/>
    <w:rsid w:val="00480328"/>
    <w:rsid w:val="00485CFC"/>
    <w:rsid w:val="004A4352"/>
    <w:rsid w:val="004B4053"/>
    <w:rsid w:val="004B41E6"/>
    <w:rsid w:val="004C2C7B"/>
    <w:rsid w:val="004D674B"/>
    <w:rsid w:val="004F466C"/>
    <w:rsid w:val="00510668"/>
    <w:rsid w:val="0051105B"/>
    <w:rsid w:val="00512A3B"/>
    <w:rsid w:val="005158AA"/>
    <w:rsid w:val="005204B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4184B"/>
    <w:rsid w:val="007733CA"/>
    <w:rsid w:val="00784CBD"/>
    <w:rsid w:val="007850BC"/>
    <w:rsid w:val="0079688E"/>
    <w:rsid w:val="007B14D6"/>
    <w:rsid w:val="007B23C4"/>
    <w:rsid w:val="007D77C4"/>
    <w:rsid w:val="007D7C20"/>
    <w:rsid w:val="007F2CF0"/>
    <w:rsid w:val="00805C7A"/>
    <w:rsid w:val="008170F9"/>
    <w:rsid w:val="008348F1"/>
    <w:rsid w:val="00852E8A"/>
    <w:rsid w:val="00862772"/>
    <w:rsid w:val="00863211"/>
    <w:rsid w:val="008C106C"/>
    <w:rsid w:val="008E52F5"/>
    <w:rsid w:val="00901B5C"/>
    <w:rsid w:val="00904656"/>
    <w:rsid w:val="00943E40"/>
    <w:rsid w:val="009462C7"/>
    <w:rsid w:val="00952B80"/>
    <w:rsid w:val="009716F1"/>
    <w:rsid w:val="0099040F"/>
    <w:rsid w:val="00991C98"/>
    <w:rsid w:val="009B5583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E1907"/>
    <w:rsid w:val="00BE65FE"/>
    <w:rsid w:val="00BF1EB2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82F85"/>
    <w:rsid w:val="00C930D5"/>
    <w:rsid w:val="00C9364D"/>
    <w:rsid w:val="00C96127"/>
    <w:rsid w:val="00CA6BED"/>
    <w:rsid w:val="00CE76BF"/>
    <w:rsid w:val="00CF5D95"/>
    <w:rsid w:val="00CF7B43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3456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C03E6"/>
    <w:rsid w:val="00ED3C13"/>
    <w:rsid w:val="00EE0E67"/>
    <w:rsid w:val="00EF1717"/>
    <w:rsid w:val="00EF434F"/>
    <w:rsid w:val="00F105FA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  <w:rsid w:val="00FD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7D7C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D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sc.gov.br/wp-content/uploads/deliberacoes/comissoes/cep-comissao-ordinaria-de-exercicio-profissional/2020/11/CEP-Deli-1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B028-4BD2-4D5C-84D6-59AE28CC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Mecabô</cp:lastModifiedBy>
  <cp:revision>5</cp:revision>
  <cp:lastPrinted>2020-12-01T14:16:00Z</cp:lastPrinted>
  <dcterms:created xsi:type="dcterms:W3CDTF">2020-07-28T21:28:00Z</dcterms:created>
  <dcterms:modified xsi:type="dcterms:W3CDTF">2020-12-01T14:17:00Z</dcterms:modified>
</cp:coreProperties>
</file>