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3F25858A" w:rsidR="00E14245" w:rsidRPr="00E14245" w:rsidRDefault="00190D7A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90D7A">
              <w:rPr>
                <w:rFonts w:ascii="Arial" w:eastAsia="Times New Roman" w:hAnsi="Arial" w:cs="Arial"/>
                <w:color w:val="000000"/>
                <w:lang w:eastAsia="pt-BR"/>
              </w:rPr>
              <w:t>978783/2019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533FAB8" w:rsidR="00E14245" w:rsidRPr="00E14245" w:rsidRDefault="007344B8" w:rsidP="00935A8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Suspensão de registro </w:t>
            </w:r>
            <w:r w:rsidR="00935A8D">
              <w:rPr>
                <w:rFonts w:ascii="Arial" w:eastAsia="Times New Roman" w:hAnsi="Arial" w:cs="Arial"/>
                <w:color w:val="000000"/>
                <w:lang w:eastAsia="pt-BR"/>
              </w:rPr>
              <w:t>profissional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por inadimplência.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0DB14513" w:rsidR="00E14245" w:rsidRPr="00E14245" w:rsidRDefault="00E14245" w:rsidP="0021418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B7E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108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11B58338" w14:textId="77777777" w:rsidR="007B7E1B" w:rsidRDefault="007B7E1B" w:rsidP="007B7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5300B3C0" w14:textId="77777777" w:rsidR="007344B8" w:rsidRDefault="007344B8" w:rsidP="00415802">
      <w:pPr>
        <w:jc w:val="both"/>
        <w:rPr>
          <w:rFonts w:ascii="Arial" w:hAnsi="Arial" w:cs="Arial"/>
        </w:rPr>
      </w:pPr>
    </w:p>
    <w:p w14:paraId="5F1EE5DA" w14:textId="7089B2A4" w:rsidR="00885802" w:rsidRDefault="00885802" w:rsidP="0041580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Considerando o disposto no art. 52 da</w:t>
      </w:r>
      <w:r w:rsidR="007344B8">
        <w:rPr>
          <w:rFonts w:ascii="Arial" w:hAnsi="Arial" w:cs="Arial"/>
        </w:rPr>
        <w:t xml:space="preserve"> Lei 12.378/2010</w:t>
      </w:r>
      <w:r>
        <w:rPr>
          <w:rFonts w:ascii="Arial" w:hAnsi="Arial" w:cs="Arial"/>
        </w:rPr>
        <w:t>: “</w:t>
      </w:r>
      <w:r w:rsidRPr="00885802">
        <w:rPr>
          <w:rFonts w:ascii="Arial" w:hAnsi="Arial" w:cs="Arial"/>
          <w:i/>
          <w:sz w:val="20"/>
          <w:szCs w:val="20"/>
        </w:rPr>
        <w:t xml:space="preserve">Art. 52.  O atraso no pagamento de anuidade sujeita o responsável à </w:t>
      </w:r>
      <w:r w:rsidRPr="00885802">
        <w:rPr>
          <w:rFonts w:ascii="Arial" w:hAnsi="Arial" w:cs="Arial"/>
          <w:i/>
          <w:sz w:val="20"/>
          <w:szCs w:val="20"/>
          <w:u w:val="single"/>
        </w:rPr>
        <w:t>suspensão do exercício profissional</w:t>
      </w:r>
      <w:r w:rsidRPr="00885802">
        <w:rPr>
          <w:rFonts w:ascii="Arial" w:hAnsi="Arial" w:cs="Arial"/>
          <w:i/>
          <w:sz w:val="20"/>
          <w:szCs w:val="20"/>
        </w:rPr>
        <w:t xml:space="preserve"> ou, no caso de pessoa jurídica, à proibição de prestar trabalhos na área da arquitetura e do urbanismo, mas não haverá cobrança judicial dos valores em atraso, protesto de dívida ou comunicação aos órgãos de proteção ao crédito</w:t>
      </w:r>
      <w:r>
        <w:rPr>
          <w:rFonts w:ascii="Arial" w:hAnsi="Arial" w:cs="Arial"/>
          <w:color w:val="000000"/>
        </w:rPr>
        <w:t>”</w:t>
      </w:r>
      <w:r w:rsidR="00E74863">
        <w:rPr>
          <w:rFonts w:ascii="Arial" w:hAnsi="Arial" w:cs="Arial"/>
          <w:color w:val="000000"/>
        </w:rPr>
        <w:t xml:space="preserve"> (grifo nosso)</w:t>
      </w:r>
    </w:p>
    <w:p w14:paraId="276777CB" w14:textId="77777777" w:rsidR="008A1E86" w:rsidRDefault="008A1E86" w:rsidP="00415802">
      <w:pPr>
        <w:jc w:val="both"/>
        <w:rPr>
          <w:rFonts w:ascii="Arial" w:hAnsi="Arial" w:cs="Arial"/>
          <w:color w:val="000000"/>
        </w:rPr>
      </w:pPr>
    </w:p>
    <w:p w14:paraId="476B6709" w14:textId="5EE1AF15" w:rsidR="008A1E86" w:rsidRDefault="008A1E86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Considerando o disposto no parágrafo 3º, do art. 19 da Lei 12.378/2010: “</w:t>
      </w:r>
      <w:r w:rsidRPr="008A1E86">
        <w:rPr>
          <w:rFonts w:ascii="Arial" w:hAnsi="Arial" w:cs="Arial"/>
          <w:i/>
          <w:sz w:val="20"/>
          <w:szCs w:val="20"/>
        </w:rPr>
        <w:t xml:space="preserve">Art. 19.  São sanções disciplinares:  (...) § 3o No caso em que o profissional ou sociedade de arquitetos e urbanistas deixar de pagar a anuidade, taxas, preços de serviços e multas devidos ao CAU/BR ou aos </w:t>
      </w:r>
      <w:proofErr w:type="spellStart"/>
      <w:r w:rsidRPr="008A1E86">
        <w:rPr>
          <w:rFonts w:ascii="Arial" w:hAnsi="Arial" w:cs="Arial"/>
          <w:i/>
          <w:sz w:val="20"/>
          <w:szCs w:val="20"/>
        </w:rPr>
        <w:t>CAUs</w:t>
      </w:r>
      <w:proofErr w:type="spellEnd"/>
      <w:r w:rsidRPr="008A1E86">
        <w:rPr>
          <w:rFonts w:ascii="Arial" w:hAnsi="Arial" w:cs="Arial"/>
          <w:i/>
          <w:sz w:val="20"/>
          <w:szCs w:val="20"/>
        </w:rPr>
        <w:t xml:space="preserve">, quando devidamente notificado, </w:t>
      </w:r>
      <w:r w:rsidRPr="008A1E86">
        <w:rPr>
          <w:rFonts w:ascii="Arial" w:hAnsi="Arial" w:cs="Arial"/>
          <w:i/>
          <w:sz w:val="20"/>
          <w:szCs w:val="20"/>
          <w:u w:val="single"/>
        </w:rPr>
        <w:t>será aplicada suspensão até a regularização da dívida</w:t>
      </w:r>
      <w:r w:rsidRPr="008A1E86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color w:val="000000"/>
        </w:rPr>
        <w:t xml:space="preserve"> ”</w:t>
      </w:r>
      <w:r w:rsidR="00E74863">
        <w:rPr>
          <w:rFonts w:ascii="Arial" w:hAnsi="Arial" w:cs="Arial"/>
          <w:color w:val="000000"/>
        </w:rPr>
        <w:t xml:space="preserve"> (</w:t>
      </w:r>
      <w:proofErr w:type="gramStart"/>
      <w:r w:rsidR="00E74863">
        <w:rPr>
          <w:rFonts w:ascii="Arial" w:hAnsi="Arial" w:cs="Arial"/>
          <w:color w:val="000000"/>
        </w:rPr>
        <w:t>grifo</w:t>
      </w:r>
      <w:proofErr w:type="gramEnd"/>
      <w:r w:rsidR="00E74863">
        <w:rPr>
          <w:rFonts w:ascii="Arial" w:hAnsi="Arial" w:cs="Arial"/>
          <w:color w:val="000000"/>
        </w:rPr>
        <w:t xml:space="preserve"> nosso);</w:t>
      </w:r>
    </w:p>
    <w:p w14:paraId="0BB3600F" w14:textId="77777777" w:rsidR="007344B8" w:rsidRDefault="007344B8" w:rsidP="00415802">
      <w:pPr>
        <w:jc w:val="both"/>
        <w:rPr>
          <w:rFonts w:ascii="Arial" w:hAnsi="Arial" w:cs="Arial"/>
        </w:rPr>
      </w:pPr>
    </w:p>
    <w:p w14:paraId="1152E944" w14:textId="2B300F95" w:rsidR="00885802" w:rsidRDefault="007344B8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885802">
        <w:rPr>
          <w:rFonts w:ascii="Arial" w:hAnsi="Arial" w:cs="Arial"/>
        </w:rPr>
        <w:t xml:space="preserve">que o art. 10, inciso II, da </w:t>
      </w:r>
      <w:r>
        <w:rPr>
          <w:rFonts w:ascii="Arial" w:hAnsi="Arial" w:cs="Arial"/>
        </w:rPr>
        <w:t>Resolução nº167 do CAU/BR</w:t>
      </w:r>
      <w:r w:rsidR="00885802">
        <w:rPr>
          <w:rFonts w:ascii="Arial" w:hAnsi="Arial" w:cs="Arial"/>
        </w:rPr>
        <w:t xml:space="preserve"> dispõe: “</w:t>
      </w:r>
      <w:r w:rsidR="00885802" w:rsidRPr="00885802">
        <w:rPr>
          <w:rFonts w:ascii="Arial" w:hAnsi="Arial" w:cs="Arial"/>
          <w:i/>
          <w:sz w:val="20"/>
          <w:szCs w:val="20"/>
        </w:rPr>
        <w:t xml:space="preserve">Art. 10. A suspensão do registro do profissional, efetuada pelo CAU/UF, decorre de: (...) II – Medida administrativa de suspensão de registro decorrente de decisão transitada em julgado, </w:t>
      </w:r>
      <w:r w:rsidR="00885802" w:rsidRPr="00E74863">
        <w:rPr>
          <w:rFonts w:ascii="Arial" w:hAnsi="Arial" w:cs="Arial"/>
          <w:i/>
          <w:sz w:val="20"/>
          <w:szCs w:val="20"/>
          <w:u w:val="single"/>
        </w:rPr>
        <w:t>por inadimplência</w:t>
      </w:r>
      <w:r w:rsidR="00885802" w:rsidRPr="00885802">
        <w:rPr>
          <w:rFonts w:ascii="Arial" w:hAnsi="Arial" w:cs="Arial"/>
          <w:i/>
          <w:sz w:val="20"/>
          <w:szCs w:val="20"/>
        </w:rPr>
        <w:t>, em processo administrativo de cobrança de valores de anuidade ou multa, nos termos da regulamentação CAU/BR correlata”</w:t>
      </w:r>
      <w:r w:rsidR="00686A59">
        <w:rPr>
          <w:rFonts w:ascii="Arial" w:hAnsi="Arial" w:cs="Arial"/>
          <w:i/>
          <w:sz w:val="20"/>
          <w:szCs w:val="20"/>
        </w:rPr>
        <w:t xml:space="preserve"> </w:t>
      </w:r>
      <w:r w:rsidR="00686A59">
        <w:rPr>
          <w:rFonts w:ascii="Arial" w:hAnsi="Arial" w:cs="Arial"/>
          <w:color w:val="000000"/>
        </w:rPr>
        <w:t>(grifo nosso)</w:t>
      </w:r>
      <w:r w:rsidR="00885802" w:rsidRPr="00885802">
        <w:rPr>
          <w:rFonts w:ascii="Arial" w:hAnsi="Arial" w:cs="Arial"/>
          <w:sz w:val="20"/>
          <w:szCs w:val="20"/>
        </w:rPr>
        <w:t>;</w:t>
      </w:r>
    </w:p>
    <w:p w14:paraId="19F55AFB" w14:textId="77777777" w:rsidR="007344B8" w:rsidRDefault="007344B8" w:rsidP="00415802">
      <w:pPr>
        <w:jc w:val="both"/>
        <w:rPr>
          <w:rFonts w:ascii="Arial" w:hAnsi="Arial" w:cs="Arial"/>
        </w:rPr>
      </w:pPr>
    </w:p>
    <w:p w14:paraId="1EC7A60D" w14:textId="6F15D896" w:rsidR="007344B8" w:rsidRDefault="007344B8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Jurídico nº28/2018 da Assessoria Jurídica do CAU/SC</w:t>
      </w:r>
      <w:r w:rsidR="001B57FC">
        <w:rPr>
          <w:rFonts w:ascii="Arial" w:hAnsi="Arial" w:cs="Arial"/>
        </w:rPr>
        <w:t xml:space="preserve"> que sugere que o CAU/SC não bloqueie o SICCAU de profissionais que estejam inadimplentes em relação a anuidades mesmo após tramitação de processo administrativo previsto na Resolução nº142 do CAU/BR;</w:t>
      </w:r>
    </w:p>
    <w:p w14:paraId="2CD5E1A4" w14:textId="77777777" w:rsidR="001B57FC" w:rsidRDefault="001B57FC" w:rsidP="00415802">
      <w:pPr>
        <w:jc w:val="both"/>
        <w:rPr>
          <w:rFonts w:ascii="Arial" w:hAnsi="Arial" w:cs="Arial"/>
        </w:rPr>
      </w:pPr>
    </w:p>
    <w:p w14:paraId="63E0C8FE" w14:textId="317CBA2E" w:rsidR="00190D7A" w:rsidRDefault="00EE3F4D" w:rsidP="00415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1F6E52">
        <w:rPr>
          <w:rFonts w:ascii="Arial" w:hAnsi="Arial" w:cs="Arial"/>
        </w:rPr>
        <w:t xml:space="preserve">a atualização do Parecer Jurídico nº28/2018 com relação ao Recurso Extraordinário </w:t>
      </w:r>
      <w:r w:rsidR="001F6E52" w:rsidRPr="001F6E52">
        <w:rPr>
          <w:rFonts w:ascii="Arial" w:hAnsi="Arial" w:cs="Arial"/>
        </w:rPr>
        <w:t>nº 647.885</w:t>
      </w:r>
      <w:r w:rsidR="001F6E52">
        <w:rPr>
          <w:rFonts w:ascii="Arial" w:hAnsi="Arial" w:cs="Arial"/>
        </w:rPr>
        <w:t xml:space="preserve"> pelo Supremo Tribunal Federal, cabendo destaque “</w:t>
      </w:r>
      <w:r w:rsidR="001F6E52" w:rsidRPr="001F6E52">
        <w:rPr>
          <w:rFonts w:ascii="Arial" w:hAnsi="Arial" w:cs="Arial"/>
          <w:i/>
          <w:sz w:val="20"/>
          <w:szCs w:val="20"/>
        </w:rPr>
        <w:t>É inconstitucional a suspensão realizada por conselho de fiscalização profissional do exercício laboral de seus inscritos por inadimplência de anuidades, pois a medida consiste em sanção política em matéria tributária</w:t>
      </w:r>
      <w:r w:rsidR="001F6E52">
        <w:rPr>
          <w:rFonts w:ascii="Arial" w:hAnsi="Arial" w:cs="Arial"/>
        </w:rPr>
        <w:t xml:space="preserve">.” e que tal </w:t>
      </w:r>
      <w:r w:rsidR="001F6E52" w:rsidRPr="001F6E52">
        <w:rPr>
          <w:rFonts w:ascii="Arial" w:hAnsi="Arial" w:cs="Arial"/>
        </w:rPr>
        <w:t>tese vincula todos os juízes e Tribunais do país que vierem a julgar pro</w:t>
      </w:r>
      <w:r w:rsidR="001F6E52">
        <w:rPr>
          <w:rFonts w:ascii="Arial" w:hAnsi="Arial" w:cs="Arial"/>
        </w:rPr>
        <w:t>cessos relativos a este assunto;</w:t>
      </w:r>
    </w:p>
    <w:p w14:paraId="16A81986" w14:textId="77777777" w:rsidR="001F6E52" w:rsidRDefault="001F6E52" w:rsidP="00415802">
      <w:pPr>
        <w:jc w:val="both"/>
        <w:rPr>
          <w:rFonts w:ascii="Arial" w:hAnsi="Arial" w:cs="Arial"/>
        </w:rPr>
      </w:pPr>
    </w:p>
    <w:p w14:paraId="46B2296B" w14:textId="6EFAB15C" w:rsidR="00BF60D4" w:rsidRPr="003B5963" w:rsidRDefault="00C22A59" w:rsidP="00BF60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95, VII</w:t>
      </w:r>
      <w:r w:rsidR="004523DB">
        <w:rPr>
          <w:rFonts w:ascii="Arial" w:hAnsi="Arial" w:cs="Arial"/>
        </w:rPr>
        <w:t>I</w:t>
      </w:r>
      <w:r w:rsidR="00BF60D4" w:rsidRPr="00BF60D4">
        <w:rPr>
          <w:rFonts w:ascii="Arial" w:hAnsi="Arial" w:cs="Arial"/>
        </w:rPr>
        <w:t xml:space="preserve">, “b”, do Regimento Interno do CAU/SC dispõe que: </w:t>
      </w:r>
      <w:r>
        <w:rPr>
          <w:rFonts w:ascii="Arial" w:hAnsi="Arial" w:cs="Arial"/>
        </w:rPr>
        <w:t>“</w:t>
      </w:r>
      <w:r w:rsidR="00BF60D4" w:rsidRPr="00C22A59">
        <w:rPr>
          <w:rFonts w:ascii="Arial" w:hAnsi="Arial" w:cs="Arial"/>
          <w:i/>
          <w:sz w:val="20"/>
          <w:szCs w:val="20"/>
        </w:rPr>
        <w:t>Art. 95. Para cumprir a finalidade de zelar pela orientação e fiscalização do exercício da Arquitetura e Urbanismo, competirá à Comissão de Exercício Profissional do CAU/SC, no âmbito de sua competência: (...)</w:t>
      </w:r>
      <w:r w:rsidRPr="00C22A59">
        <w:rPr>
          <w:rFonts w:ascii="Arial" w:hAnsi="Arial" w:cs="Arial"/>
          <w:i/>
          <w:sz w:val="20"/>
          <w:szCs w:val="20"/>
        </w:rPr>
        <w:t xml:space="preserve"> VII - propor, apreciar e deliberar, em consonância com os atos já normatizados pelo CAU/BR, sobre: </w:t>
      </w:r>
      <w:r>
        <w:rPr>
          <w:rFonts w:ascii="Arial" w:hAnsi="Arial" w:cs="Arial"/>
          <w:i/>
          <w:sz w:val="20"/>
          <w:szCs w:val="20"/>
        </w:rPr>
        <w:t>(...)</w:t>
      </w:r>
      <w:r w:rsidR="004523DB" w:rsidRPr="004523DB">
        <w:rPr>
          <w:rFonts w:ascii="Arial" w:hAnsi="Arial" w:cs="Arial"/>
          <w:i/>
          <w:sz w:val="20"/>
          <w:szCs w:val="20"/>
        </w:rPr>
        <w:t>b) alterações de registros profissionais</w:t>
      </w:r>
      <w:r w:rsidRPr="004523DB">
        <w:rPr>
          <w:rFonts w:ascii="Arial" w:hAnsi="Arial" w:cs="Arial"/>
          <w:i/>
          <w:sz w:val="20"/>
          <w:szCs w:val="20"/>
        </w:rPr>
        <w:t>”;</w:t>
      </w:r>
    </w:p>
    <w:p w14:paraId="3BEBBA26" w14:textId="77777777" w:rsidR="00BF60D4" w:rsidRDefault="00BF60D4" w:rsidP="00BF60D4">
      <w:pPr>
        <w:jc w:val="both"/>
        <w:rPr>
          <w:rFonts w:ascii="Arial" w:hAnsi="Arial" w:cs="Arial"/>
        </w:rPr>
      </w:pPr>
    </w:p>
    <w:p w14:paraId="5D511A32" w14:textId="19AA0526" w:rsidR="001F6E52" w:rsidRDefault="00BF60D4" w:rsidP="00BF60D4">
      <w:pPr>
        <w:jc w:val="both"/>
        <w:rPr>
          <w:rFonts w:ascii="Arial" w:hAnsi="Arial" w:cs="Arial"/>
        </w:rPr>
      </w:pPr>
      <w:r w:rsidRPr="005B4EE0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2A944425" w14:textId="77777777" w:rsidR="001F6E52" w:rsidRDefault="001F6E5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5E2F6E" w14:textId="0A00761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6E43A98E" w14:textId="2FC2F76A" w:rsidR="007B6CC9" w:rsidRDefault="001F6E52" w:rsidP="007B6CC9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B7E1B">
        <w:rPr>
          <w:rFonts w:ascii="Arial" w:hAnsi="Arial" w:cs="Arial"/>
        </w:rPr>
        <w:t xml:space="preserve">Solicitar ao CAU/BR manifestação sobre </w:t>
      </w:r>
      <w:r w:rsidR="007B6CC9" w:rsidRPr="007B7E1B">
        <w:rPr>
          <w:rFonts w:ascii="Arial" w:hAnsi="Arial" w:cs="Arial"/>
        </w:rPr>
        <w:t>o conteúdo da ementa e sobre a tese de inconstitucionalidade fixada no recurso extraordinário nº 647.885, julgado em regime de repercussão geral;</w:t>
      </w:r>
    </w:p>
    <w:p w14:paraId="659A5D1F" w14:textId="77777777" w:rsidR="00161689" w:rsidRPr="007B7E1B" w:rsidRDefault="00161689" w:rsidP="00161689">
      <w:pPr>
        <w:pStyle w:val="PargrafodaLista"/>
        <w:jc w:val="both"/>
        <w:rPr>
          <w:rFonts w:ascii="Arial" w:hAnsi="Arial" w:cs="Arial"/>
        </w:rPr>
      </w:pPr>
    </w:p>
    <w:p w14:paraId="60C593EA" w14:textId="6DF35044" w:rsidR="00FC496C" w:rsidRDefault="00FC496C" w:rsidP="00545B7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B7E1B">
        <w:rPr>
          <w:rFonts w:ascii="Arial" w:hAnsi="Arial" w:cs="Arial"/>
        </w:rPr>
        <w:t>Encaminhar cópia da consulta jurídica sobre o tema;</w:t>
      </w:r>
    </w:p>
    <w:p w14:paraId="2A5B3106" w14:textId="7DF35F51" w:rsidR="00161689" w:rsidRPr="00161689" w:rsidRDefault="00161689" w:rsidP="00161689">
      <w:pPr>
        <w:jc w:val="both"/>
        <w:rPr>
          <w:rFonts w:ascii="Arial" w:hAnsi="Arial" w:cs="Arial"/>
        </w:rPr>
      </w:pPr>
    </w:p>
    <w:p w14:paraId="7CE70205" w14:textId="7C9C958B" w:rsidR="00F43C07" w:rsidRDefault="00F43C07" w:rsidP="00545B76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7B7E1B">
        <w:rPr>
          <w:rFonts w:ascii="Arial" w:hAnsi="Arial" w:cs="Arial"/>
        </w:rPr>
        <w:t>Orientar os setores técnicos a não promover</w:t>
      </w:r>
      <w:r>
        <w:rPr>
          <w:rFonts w:ascii="Arial" w:hAnsi="Arial" w:cs="Arial"/>
        </w:rPr>
        <w:t xml:space="preserve"> a suspensão de registro</w:t>
      </w:r>
      <w:r w:rsidR="007B6CC9">
        <w:rPr>
          <w:rFonts w:ascii="Arial" w:hAnsi="Arial" w:cs="Arial"/>
        </w:rPr>
        <w:t xml:space="preserve">, conforme Resolução nº 167 do </w:t>
      </w:r>
      <w:r>
        <w:rPr>
          <w:rFonts w:ascii="Arial" w:hAnsi="Arial" w:cs="Arial"/>
        </w:rPr>
        <w:t>CAU/BR</w:t>
      </w:r>
      <w:r w:rsidR="007B6CC9">
        <w:rPr>
          <w:rFonts w:ascii="Arial" w:hAnsi="Arial" w:cs="Arial"/>
        </w:rPr>
        <w:t xml:space="preserve"> até análise e resposta deste</w:t>
      </w:r>
      <w:r>
        <w:rPr>
          <w:rFonts w:ascii="Arial" w:hAnsi="Arial" w:cs="Arial"/>
        </w:rPr>
        <w:t>;</w:t>
      </w:r>
    </w:p>
    <w:p w14:paraId="1E21E943" w14:textId="60F55C24" w:rsidR="00161689" w:rsidRPr="00161689" w:rsidRDefault="00161689" w:rsidP="00161689">
      <w:pPr>
        <w:jc w:val="both"/>
        <w:rPr>
          <w:rFonts w:ascii="Arial" w:hAnsi="Arial" w:cs="Arial"/>
        </w:rPr>
      </w:pPr>
    </w:p>
    <w:p w14:paraId="7198DB82" w14:textId="4DC8E59A" w:rsidR="00D64ACE" w:rsidRPr="004D087C" w:rsidRDefault="00D64ACE" w:rsidP="004D087C">
      <w:pPr>
        <w:pStyle w:val="PargrafodaLista"/>
        <w:numPr>
          <w:ilvl w:val="0"/>
          <w:numId w:val="11"/>
        </w:numPr>
        <w:jc w:val="both"/>
        <w:rPr>
          <w:rFonts w:ascii="Arial" w:hAnsi="Arial" w:cs="Arial"/>
        </w:rPr>
      </w:pPr>
      <w:r w:rsidRPr="004D087C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2383276C" w14:textId="77777777" w:rsidR="007B7E1B" w:rsidRDefault="007B7E1B" w:rsidP="007B7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798C1533" w14:textId="77777777" w:rsidR="007B7E1B" w:rsidRDefault="007B7E1B" w:rsidP="007B7E1B">
      <w:pPr>
        <w:jc w:val="both"/>
        <w:rPr>
          <w:rFonts w:ascii="Arial" w:hAnsi="Arial" w:cs="Arial"/>
        </w:rPr>
      </w:pPr>
    </w:p>
    <w:p w14:paraId="0E1643DC" w14:textId="77777777" w:rsidR="007B7E1B" w:rsidRDefault="007B7E1B" w:rsidP="007B7E1B">
      <w:pPr>
        <w:jc w:val="both"/>
        <w:rPr>
          <w:rFonts w:ascii="Arial" w:hAnsi="Arial" w:cs="Arial"/>
          <w:b/>
        </w:rPr>
      </w:pPr>
    </w:p>
    <w:p w14:paraId="07360BFE" w14:textId="77777777" w:rsidR="007B7E1B" w:rsidRDefault="007B7E1B" w:rsidP="007B7E1B">
      <w:pPr>
        <w:jc w:val="both"/>
        <w:rPr>
          <w:rFonts w:ascii="Arial" w:hAnsi="Arial" w:cs="Arial"/>
          <w:b/>
        </w:rPr>
      </w:pPr>
    </w:p>
    <w:p w14:paraId="1455118D" w14:textId="77777777" w:rsidR="007B7E1B" w:rsidRPr="00562CE9" w:rsidRDefault="007B7E1B" w:rsidP="007B7E1B">
      <w:pPr>
        <w:jc w:val="both"/>
        <w:rPr>
          <w:rFonts w:ascii="Arial" w:hAnsi="Arial" w:cs="Arial"/>
          <w:b/>
        </w:rPr>
      </w:pPr>
    </w:p>
    <w:p w14:paraId="1E8EFD34" w14:textId="77777777" w:rsidR="007B7E1B" w:rsidRDefault="007B7E1B" w:rsidP="007B7E1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6E948975" w14:textId="77777777" w:rsidR="007B7E1B" w:rsidRDefault="007B7E1B" w:rsidP="007B7E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536A37FA" w14:textId="7EC0503F" w:rsidR="007B7E1B" w:rsidRDefault="007B7E1B" w:rsidP="007B7E1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32D389A2" w14:textId="7853D25B" w:rsidR="007B7E1B" w:rsidRDefault="007B7E1B" w:rsidP="007B7E1B">
      <w:pPr>
        <w:jc w:val="center"/>
        <w:rPr>
          <w:rFonts w:ascii="Arial" w:hAnsi="Arial" w:cs="Arial"/>
        </w:rPr>
      </w:pPr>
    </w:p>
    <w:p w14:paraId="42B9EA57" w14:textId="715FDA0D" w:rsidR="007B7E1B" w:rsidRDefault="007B7E1B" w:rsidP="007B7E1B">
      <w:pPr>
        <w:jc w:val="center"/>
        <w:rPr>
          <w:rFonts w:ascii="Arial" w:hAnsi="Arial" w:cs="Arial"/>
        </w:rPr>
      </w:pPr>
    </w:p>
    <w:p w14:paraId="053D2BBF" w14:textId="16C3FE27" w:rsidR="007B7E1B" w:rsidRDefault="007B7E1B" w:rsidP="007B7E1B">
      <w:pPr>
        <w:jc w:val="center"/>
        <w:rPr>
          <w:rFonts w:ascii="Arial" w:hAnsi="Arial" w:cs="Arial"/>
        </w:rPr>
      </w:pPr>
    </w:p>
    <w:p w14:paraId="77F9E7BF" w14:textId="77777777" w:rsidR="007B7E1B" w:rsidRDefault="007B7E1B" w:rsidP="007B7E1B">
      <w:pPr>
        <w:jc w:val="center"/>
        <w:rPr>
          <w:rFonts w:ascii="Arial" w:eastAsia="Cambria" w:hAnsi="Arial" w:cs="Arial"/>
          <w:bCs/>
          <w:lang w:eastAsia="pt-BR"/>
        </w:rPr>
      </w:pPr>
    </w:p>
    <w:p w14:paraId="2CF25002" w14:textId="77777777" w:rsidR="007B7E1B" w:rsidRDefault="007B7E1B" w:rsidP="007B7E1B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10ª REUNIÃO ORDINÁRIA DA CEP - CAU/SC</w:t>
      </w:r>
    </w:p>
    <w:p w14:paraId="66F41C90" w14:textId="77777777" w:rsidR="007B7E1B" w:rsidRDefault="007B7E1B" w:rsidP="007B7E1B">
      <w:pPr>
        <w:jc w:val="center"/>
        <w:rPr>
          <w:rFonts w:ascii="Arial" w:eastAsia="Cambria" w:hAnsi="Arial" w:cs="Arial"/>
          <w:lang w:eastAsia="pt-BR"/>
        </w:rPr>
      </w:pPr>
    </w:p>
    <w:p w14:paraId="3DF8B739" w14:textId="77777777" w:rsidR="007B7E1B" w:rsidRDefault="007B7E1B" w:rsidP="007B7E1B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999E9AA" w14:textId="77777777" w:rsidR="007B7E1B" w:rsidRDefault="007B7E1B" w:rsidP="007B7E1B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7B7E1B" w14:paraId="4A7644B5" w14:textId="77777777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0A5DE12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45450A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B7E1B" w14:paraId="13E87038" w14:textId="77777777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36B6CF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1001FB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28F1C5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CFE882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17AA2D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7B7E1B" w14:paraId="5B8F8458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725CF16" w14:textId="77777777" w:rsidR="007B7E1B" w:rsidRDefault="007B7E1B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086686A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F609A27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806965E" w14:textId="77777777" w:rsidR="007B7E1B" w:rsidRDefault="007B7E1B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FC389F0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B7E1B" w14:paraId="55403AA0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BD4FABD" w14:textId="77777777" w:rsidR="007B7E1B" w:rsidRDefault="007B7E1B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4A3E52D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E9BB1E2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6041054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4F34F91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B7E1B" w14:paraId="5ED82991" w14:textId="77777777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C15FADF" w14:textId="77777777" w:rsidR="007B7E1B" w:rsidRDefault="007B7E1B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2460253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2D3DE4E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50419FF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966264C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B7E1B" w14:paraId="1DF4977A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5BF9889" w14:textId="4483B823" w:rsidR="007B7E1B" w:rsidRDefault="001F60E7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Kaspary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24B9916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693CA83F" w14:textId="77777777" w:rsidR="007B7E1B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70F6F1F" w14:textId="77777777" w:rsidR="007B7E1B" w:rsidRPr="00230377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626EA3B" w14:textId="77777777" w:rsidR="007B7E1B" w:rsidRPr="00230377" w:rsidRDefault="007B7E1B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14:paraId="4B63E615" w14:textId="77777777" w:rsidR="007B7E1B" w:rsidRDefault="007B7E1B" w:rsidP="007B7E1B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7B7E1B" w14:paraId="5B1D30BD" w14:textId="77777777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27E8766" w14:textId="77777777" w:rsidR="007B7E1B" w:rsidRDefault="007B7E1B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B7E1B" w14:paraId="7FEE5E84" w14:textId="77777777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9E3B6F4" w14:textId="77777777" w:rsidR="007B7E1B" w:rsidRDefault="007B7E1B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7B7E1B" w14:paraId="3AED4C45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6ACF0C6" w14:textId="77777777" w:rsidR="007B7E1B" w:rsidRDefault="007B7E1B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14:paraId="639DE1D3" w14:textId="27607127" w:rsidR="007B7E1B" w:rsidRDefault="007B7E1B" w:rsidP="007B7E1B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Suspensão de registro profissional por inadimplência.</w:t>
            </w:r>
          </w:p>
        </w:tc>
      </w:tr>
      <w:tr w:rsidR="007B7E1B" w14:paraId="0D315192" w14:textId="77777777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C93CD21" w14:textId="77777777" w:rsidR="007B7E1B" w:rsidRDefault="007B7E1B" w:rsidP="00B43A9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1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7B7E1B" w14:paraId="4A426CBD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812F4B4" w14:textId="77777777" w:rsidR="007B7E1B" w:rsidRDefault="007B7E1B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7B7E1B" w14:paraId="7284CB70" w14:textId="77777777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1527635" w14:textId="77777777" w:rsidR="007B7E1B" w:rsidRDefault="007B7E1B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038DD082" w14:textId="77777777" w:rsidR="007B7E1B" w:rsidRDefault="007B7E1B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6B7D7B13" w14:textId="77777777" w:rsidR="007B7E1B" w:rsidRDefault="007B7E1B" w:rsidP="007B7E1B">
      <w:pPr>
        <w:jc w:val="both"/>
        <w:rPr>
          <w:rFonts w:ascii="Arial" w:hAnsi="Arial" w:cs="Arial"/>
        </w:rPr>
      </w:pPr>
    </w:p>
    <w:p w14:paraId="47E77D9D" w14:textId="77777777" w:rsidR="007B7E1B" w:rsidRPr="00153B4C" w:rsidRDefault="007B7E1B" w:rsidP="007B7E1B">
      <w:pPr>
        <w:jc w:val="both"/>
        <w:rPr>
          <w:rFonts w:ascii="Arial" w:hAnsi="Arial" w:cs="Arial"/>
        </w:rPr>
      </w:pPr>
    </w:p>
    <w:p w14:paraId="786A66BD" w14:textId="73B00063" w:rsidR="00773100" w:rsidRPr="00591B0A" w:rsidRDefault="00773100" w:rsidP="00B834FD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FA0A0" w14:textId="77777777" w:rsidR="00591426" w:rsidRDefault="00591426" w:rsidP="00480328">
      <w:r>
        <w:separator/>
      </w:r>
    </w:p>
  </w:endnote>
  <w:endnote w:type="continuationSeparator" w:id="0">
    <w:p w14:paraId="4AA21D70" w14:textId="77777777" w:rsidR="00591426" w:rsidRDefault="0059142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750EF" w14:textId="77777777" w:rsidR="00591426" w:rsidRDefault="00591426" w:rsidP="00480328">
      <w:r>
        <w:separator/>
      </w:r>
    </w:p>
  </w:footnote>
  <w:footnote w:type="continuationSeparator" w:id="0">
    <w:p w14:paraId="3A3B90A5" w14:textId="77777777" w:rsidR="00591426" w:rsidRDefault="0059142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F1086"/>
    <w:multiLevelType w:val="hybridMultilevel"/>
    <w:tmpl w:val="3CB6A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3FC8"/>
    <w:rsid w:val="00146007"/>
    <w:rsid w:val="001462FA"/>
    <w:rsid w:val="00155181"/>
    <w:rsid w:val="00161689"/>
    <w:rsid w:val="0017431E"/>
    <w:rsid w:val="00180AAA"/>
    <w:rsid w:val="0018115C"/>
    <w:rsid w:val="00181667"/>
    <w:rsid w:val="001848AD"/>
    <w:rsid w:val="00190120"/>
    <w:rsid w:val="00190D7A"/>
    <w:rsid w:val="001B57FC"/>
    <w:rsid w:val="001F60E7"/>
    <w:rsid w:val="001F6E52"/>
    <w:rsid w:val="00214181"/>
    <w:rsid w:val="00224F00"/>
    <w:rsid w:val="002313FA"/>
    <w:rsid w:val="0024303B"/>
    <w:rsid w:val="00250717"/>
    <w:rsid w:val="00251F4D"/>
    <w:rsid w:val="0027678A"/>
    <w:rsid w:val="002B55E4"/>
    <w:rsid w:val="002C0612"/>
    <w:rsid w:val="002D1D7E"/>
    <w:rsid w:val="002E2605"/>
    <w:rsid w:val="002F1397"/>
    <w:rsid w:val="002F5CDB"/>
    <w:rsid w:val="003007A0"/>
    <w:rsid w:val="003247B2"/>
    <w:rsid w:val="00333529"/>
    <w:rsid w:val="003362B6"/>
    <w:rsid w:val="00367DE3"/>
    <w:rsid w:val="003B4522"/>
    <w:rsid w:val="003D7349"/>
    <w:rsid w:val="003E26BA"/>
    <w:rsid w:val="003E6CFE"/>
    <w:rsid w:val="00410C09"/>
    <w:rsid w:val="00415802"/>
    <w:rsid w:val="00425319"/>
    <w:rsid w:val="004361F0"/>
    <w:rsid w:val="00437EE8"/>
    <w:rsid w:val="0044674B"/>
    <w:rsid w:val="00447011"/>
    <w:rsid w:val="004523DB"/>
    <w:rsid w:val="0045264D"/>
    <w:rsid w:val="00472A3A"/>
    <w:rsid w:val="00473643"/>
    <w:rsid w:val="00480328"/>
    <w:rsid w:val="00485CFC"/>
    <w:rsid w:val="004A3AA4"/>
    <w:rsid w:val="004A4352"/>
    <w:rsid w:val="004B4053"/>
    <w:rsid w:val="004B41E6"/>
    <w:rsid w:val="004B430C"/>
    <w:rsid w:val="004C2C7B"/>
    <w:rsid w:val="004C6171"/>
    <w:rsid w:val="004D087C"/>
    <w:rsid w:val="004D0DEC"/>
    <w:rsid w:val="004D674B"/>
    <w:rsid w:val="004E0DDE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91426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50EAD"/>
    <w:rsid w:val="0066044D"/>
    <w:rsid w:val="00686A59"/>
    <w:rsid w:val="00694B4D"/>
    <w:rsid w:val="00711079"/>
    <w:rsid w:val="00720D21"/>
    <w:rsid w:val="007344B8"/>
    <w:rsid w:val="0074184B"/>
    <w:rsid w:val="00773100"/>
    <w:rsid w:val="007733CA"/>
    <w:rsid w:val="00784CBD"/>
    <w:rsid w:val="007850BC"/>
    <w:rsid w:val="0079688E"/>
    <w:rsid w:val="007B14D6"/>
    <w:rsid w:val="007B23C4"/>
    <w:rsid w:val="007B6CC9"/>
    <w:rsid w:val="007B7E1B"/>
    <w:rsid w:val="007D77C4"/>
    <w:rsid w:val="007E4193"/>
    <w:rsid w:val="007F2CF0"/>
    <w:rsid w:val="007F70DD"/>
    <w:rsid w:val="00801999"/>
    <w:rsid w:val="00805C7A"/>
    <w:rsid w:val="00807871"/>
    <w:rsid w:val="008170F9"/>
    <w:rsid w:val="008348F1"/>
    <w:rsid w:val="008365B1"/>
    <w:rsid w:val="00852E8A"/>
    <w:rsid w:val="00862772"/>
    <w:rsid w:val="00870CD6"/>
    <w:rsid w:val="00885802"/>
    <w:rsid w:val="008A1E86"/>
    <w:rsid w:val="008C106C"/>
    <w:rsid w:val="008E0FBD"/>
    <w:rsid w:val="00904656"/>
    <w:rsid w:val="00935A8D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42AE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97006"/>
    <w:rsid w:val="00AD2828"/>
    <w:rsid w:val="00AD748F"/>
    <w:rsid w:val="00AF0C73"/>
    <w:rsid w:val="00AF1275"/>
    <w:rsid w:val="00B2306D"/>
    <w:rsid w:val="00B379E5"/>
    <w:rsid w:val="00B46E20"/>
    <w:rsid w:val="00B47C78"/>
    <w:rsid w:val="00B57B55"/>
    <w:rsid w:val="00B834FD"/>
    <w:rsid w:val="00B91968"/>
    <w:rsid w:val="00B96215"/>
    <w:rsid w:val="00BB4921"/>
    <w:rsid w:val="00BB7BFD"/>
    <w:rsid w:val="00BC2844"/>
    <w:rsid w:val="00BD3A39"/>
    <w:rsid w:val="00BE1907"/>
    <w:rsid w:val="00BE4319"/>
    <w:rsid w:val="00BF504E"/>
    <w:rsid w:val="00BF546C"/>
    <w:rsid w:val="00BF60D4"/>
    <w:rsid w:val="00C070B7"/>
    <w:rsid w:val="00C11DF7"/>
    <w:rsid w:val="00C13A64"/>
    <w:rsid w:val="00C153B9"/>
    <w:rsid w:val="00C2223F"/>
    <w:rsid w:val="00C22A59"/>
    <w:rsid w:val="00C22D32"/>
    <w:rsid w:val="00C27445"/>
    <w:rsid w:val="00C278E8"/>
    <w:rsid w:val="00C27E1C"/>
    <w:rsid w:val="00C3702F"/>
    <w:rsid w:val="00C82F85"/>
    <w:rsid w:val="00C930D5"/>
    <w:rsid w:val="00C9364D"/>
    <w:rsid w:val="00C96127"/>
    <w:rsid w:val="00CA3447"/>
    <w:rsid w:val="00CA6BED"/>
    <w:rsid w:val="00CD5156"/>
    <w:rsid w:val="00CE76BF"/>
    <w:rsid w:val="00CF5D95"/>
    <w:rsid w:val="00D010A7"/>
    <w:rsid w:val="00D02139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B51E4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6539E"/>
    <w:rsid w:val="00E73135"/>
    <w:rsid w:val="00E74863"/>
    <w:rsid w:val="00E761A5"/>
    <w:rsid w:val="00EA3E5B"/>
    <w:rsid w:val="00EB2C3C"/>
    <w:rsid w:val="00ED3C13"/>
    <w:rsid w:val="00EE0E67"/>
    <w:rsid w:val="00EE3F4D"/>
    <w:rsid w:val="00EF434F"/>
    <w:rsid w:val="00F105FA"/>
    <w:rsid w:val="00F3018A"/>
    <w:rsid w:val="00F304B4"/>
    <w:rsid w:val="00F35EFD"/>
    <w:rsid w:val="00F43A54"/>
    <w:rsid w:val="00F43C07"/>
    <w:rsid w:val="00F46694"/>
    <w:rsid w:val="00F54947"/>
    <w:rsid w:val="00F575BB"/>
    <w:rsid w:val="00F71A7D"/>
    <w:rsid w:val="00F86DFD"/>
    <w:rsid w:val="00F94EE8"/>
    <w:rsid w:val="00FB416E"/>
    <w:rsid w:val="00FB7460"/>
    <w:rsid w:val="00FC496C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umhlqtq37">
    <w:name w:val="markumhlqtq37"/>
    <w:basedOn w:val="Fontepargpadro"/>
    <w:rsid w:val="00B4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EF56-A8C2-4C26-BC84-A7467D02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5</cp:revision>
  <cp:lastPrinted>2020-08-26T16:13:00Z</cp:lastPrinted>
  <dcterms:created xsi:type="dcterms:W3CDTF">2020-10-30T12:54:00Z</dcterms:created>
  <dcterms:modified xsi:type="dcterms:W3CDTF">2020-10-30T15:41:00Z</dcterms:modified>
</cp:coreProperties>
</file>