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9950E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1B4D" w:rsidP="002A0A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1499223/2022</w:t>
            </w:r>
          </w:p>
        </w:tc>
      </w:tr>
      <w:tr w:rsidR="00A571E4" w:rsidRPr="00711E6A" w:rsidTr="009950E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4701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  <w:r w:rsidR="009950E1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="00BC1C34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A571E4" w:rsidRPr="00711E6A" w:rsidTr="009950E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834701" w:rsidP="0083470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Encaminhamento de indício(s)</w:t>
            </w:r>
            <w:r w:rsidR="00D46ADA">
              <w:rPr>
                <w:rFonts w:ascii="Arial" w:eastAsia="Times New Roman" w:hAnsi="Arial" w:cs="Arial"/>
                <w:lang w:eastAsia="pt-BR"/>
              </w:rPr>
              <w:t xml:space="preserve"> de descumprimento da Res. 52</w:t>
            </w:r>
            <w:r w:rsidRPr="00834701">
              <w:rPr>
                <w:rFonts w:ascii="Arial" w:eastAsia="Times New Roman" w:hAnsi="Arial" w:cs="Arial"/>
                <w:lang w:eastAsia="pt-BR"/>
              </w:rPr>
              <w:t xml:space="preserve"> do CAU/BR </w:t>
            </w:r>
          </w:p>
        </w:tc>
      </w:tr>
      <w:tr w:rsidR="00A571E4" w:rsidRPr="00E14245" w:rsidTr="009950E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9950E1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74D5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67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B67D3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174D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EE6FEE" w:rsidRDefault="00EE6FEE" w:rsidP="00EE6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ordinariamente,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:rsidR="00873670" w:rsidRDefault="00873670">
      <w:pPr>
        <w:jc w:val="both"/>
        <w:rPr>
          <w:rFonts w:ascii="Arial" w:hAnsi="Arial" w:cs="Arial"/>
        </w:rPr>
      </w:pPr>
      <w:bookmarkStart w:id="0" w:name="_GoBack"/>
      <w:bookmarkEnd w:id="0"/>
    </w:p>
    <w:p w:rsidR="00906E06" w:rsidRPr="00C20ACD" w:rsidRDefault="00C20ACD" w:rsidP="00C20AC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artigo 17</w:t>
      </w:r>
      <w:r w:rsidR="00906E06" w:rsidRPr="002E7BE4">
        <w:rPr>
          <w:rFonts w:ascii="Arial" w:eastAsia="Times New Roman" w:hAnsi="Arial" w:cs="Arial"/>
          <w:lang w:eastAsia="pt-BR"/>
        </w:rPr>
        <w:t xml:space="preserve">º </w:t>
      </w:r>
      <w:r>
        <w:rPr>
          <w:rFonts w:ascii="Arial" w:eastAsia="Times New Roman" w:hAnsi="Arial" w:cs="Arial"/>
          <w:lang w:eastAsia="pt-BR"/>
        </w:rPr>
        <w:t>da Lei 12.378/2010, dispondo</w:t>
      </w:r>
      <w:r w:rsidR="00906E06" w:rsidRPr="002E7BE4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que, no exercício da profissão, o arquiteto e urbanista deve pautar sua conduta pelos parâmetros a serem definidos no Código de Ética e Disciplina do CAU/BR</w:t>
      </w:r>
      <w:r w:rsidR="00906E06" w:rsidRPr="00C20ACD">
        <w:rPr>
          <w:rFonts w:ascii="Arial" w:eastAsia="Times New Roman" w:hAnsi="Arial" w:cs="Arial"/>
          <w:lang w:eastAsia="pt-BR"/>
        </w:rPr>
        <w:t xml:space="preserve">; </w:t>
      </w:r>
      <w:r>
        <w:rPr>
          <w:rFonts w:ascii="Arial" w:eastAsia="Times New Roman" w:hAnsi="Arial" w:cs="Arial"/>
          <w:lang w:eastAsia="pt-BR"/>
        </w:rPr>
        <w:t xml:space="preserve">e seu parágrafo único que dispõe: o Código de Ética </w:t>
      </w:r>
      <w:r w:rsidRPr="00C20ACD">
        <w:rPr>
          <w:rFonts w:ascii="Arial" w:eastAsia="Times New Roman" w:hAnsi="Arial" w:cs="Arial"/>
          <w:lang w:eastAsia="pt-BR"/>
        </w:rPr>
        <w:t>e Disciplina deverá regular também os deveres do arquiteto e urbanista para com a comunidade, a sua relação com os demais profissionais, o dever geral de urbanidade e, ainda, os respectivos procedimentos disciplinares, observado o disposto nesta Lei</w:t>
      </w:r>
      <w:r>
        <w:rPr>
          <w:rFonts w:ascii="Arial" w:eastAsia="Times New Roman" w:hAnsi="Arial" w:cs="Arial"/>
          <w:lang w:eastAsia="pt-BR"/>
        </w:rPr>
        <w:t>.</w:t>
      </w:r>
    </w:p>
    <w:p w:rsidR="00906E06" w:rsidRDefault="00906E06" w:rsidP="00906E06">
      <w:pPr>
        <w:jc w:val="both"/>
        <w:rPr>
          <w:rFonts w:ascii="Arial" w:hAnsi="Arial" w:cs="Arial"/>
          <w:color w:val="000000"/>
        </w:rPr>
      </w:pPr>
    </w:p>
    <w:p w:rsidR="007E3F37" w:rsidRDefault="00BC1C34" w:rsidP="00906E0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</w:t>
      </w:r>
      <w:r w:rsidR="007E3F37">
        <w:rPr>
          <w:rFonts w:ascii="Arial" w:eastAsia="Times New Roman" w:hAnsi="Arial" w:cs="Arial"/>
          <w:lang w:eastAsia="pt-BR"/>
        </w:rPr>
        <w:t>rt. 12, da Resolução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BR nº 143</w:t>
      </w:r>
      <w:r w:rsidR="00D46ADA">
        <w:rPr>
          <w:rFonts w:ascii="Arial" w:eastAsia="Times New Roman" w:hAnsi="Arial" w:cs="Arial"/>
          <w:lang w:eastAsia="pt-BR"/>
        </w:rPr>
        <w:t xml:space="preserve"> de 23 de junho de </w:t>
      </w:r>
      <w:r w:rsidR="007E3F37">
        <w:rPr>
          <w:rFonts w:ascii="Arial" w:eastAsia="Times New Roman" w:hAnsi="Arial" w:cs="Arial"/>
          <w:lang w:eastAsia="pt-BR"/>
        </w:rPr>
        <w:t xml:space="preserve">2017, </w:t>
      </w:r>
      <w:r w:rsidR="007E3F37" w:rsidRPr="00AE7008">
        <w:rPr>
          <w:rFonts w:ascii="Arial" w:eastAsia="Times New Roman" w:hAnsi="Arial" w:cs="Arial"/>
          <w:lang w:eastAsia="pt-BR"/>
        </w:rPr>
        <w:t xml:space="preserve">bem como a Deliberação </w:t>
      </w:r>
      <w:r w:rsidR="00CD01D9" w:rsidRPr="00AE7008">
        <w:rPr>
          <w:rFonts w:ascii="Arial" w:eastAsia="Times New Roman" w:hAnsi="Arial" w:cs="Arial"/>
          <w:lang w:eastAsia="pt-BR"/>
        </w:rPr>
        <w:t>Plenária DPOBR N° 0066-06 de 25 de maio de 2017</w:t>
      </w:r>
      <w:r w:rsidR="007E3F37" w:rsidRPr="00AE7008">
        <w:rPr>
          <w:rFonts w:ascii="Arial" w:eastAsia="Times New Roman" w:hAnsi="Arial" w:cs="Arial"/>
          <w:lang w:eastAsia="pt-BR"/>
        </w:rPr>
        <w:t>,</w:t>
      </w:r>
      <w:r w:rsidR="007E3F37">
        <w:rPr>
          <w:rFonts w:ascii="Arial" w:eastAsia="Times New Roman" w:hAnsi="Arial" w:cs="Arial"/>
          <w:lang w:eastAsia="pt-BR"/>
        </w:rPr>
        <w:t xml:space="preserve"> que determina</w:t>
      </w:r>
      <w:r w:rsidR="008D38E6">
        <w:rPr>
          <w:rFonts w:ascii="Arial" w:eastAsia="Times New Roman" w:hAnsi="Arial" w:cs="Arial"/>
          <w:lang w:eastAsia="pt-BR"/>
        </w:rPr>
        <w:t>m</w:t>
      </w:r>
      <w:r w:rsidR="007E3F37">
        <w:rPr>
          <w:rFonts w:ascii="Arial" w:eastAsia="Times New Roman" w:hAnsi="Arial" w:cs="Arial"/>
          <w:lang w:eastAsia="pt-BR"/>
        </w:rPr>
        <w:t xml:space="preserve"> os procedimentos que devem ser a</w:t>
      </w:r>
      <w:r w:rsidR="00831B4D">
        <w:rPr>
          <w:rFonts w:ascii="Arial" w:eastAsia="Times New Roman" w:hAnsi="Arial" w:cs="Arial"/>
          <w:lang w:eastAsia="pt-BR"/>
        </w:rPr>
        <w:t>d</w:t>
      </w:r>
      <w:r w:rsidR="007E3F37">
        <w:rPr>
          <w:rFonts w:ascii="Arial" w:eastAsia="Times New Roman" w:hAnsi="Arial" w:cs="Arial"/>
          <w:lang w:eastAsia="pt-BR"/>
        </w:rPr>
        <w:t>otados para o encaminhamento da denúncia da CEP-CAU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 para a CED-CAU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UF, quando do conhecimento do fato pela CEP-CAU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 decorrer de atividade fiscalizatória realizada pelo CAU</w:t>
      </w:r>
      <w:r w:rsidR="007E3F37" w:rsidRPr="002E7BE4">
        <w:rPr>
          <w:rFonts w:ascii="Arial" w:eastAsia="Times New Roman" w:hAnsi="Arial" w:cs="Arial"/>
          <w:lang w:eastAsia="pt-BR"/>
        </w:rPr>
        <w:t>/</w:t>
      </w:r>
      <w:r w:rsidR="007E3F37">
        <w:rPr>
          <w:rFonts w:ascii="Arial" w:eastAsia="Times New Roman" w:hAnsi="Arial" w:cs="Arial"/>
          <w:lang w:eastAsia="pt-BR"/>
        </w:rPr>
        <w:t>UF;</w:t>
      </w:r>
    </w:p>
    <w:p w:rsidR="00473B7E" w:rsidRDefault="00473B7E" w:rsidP="00906E06">
      <w:pPr>
        <w:jc w:val="both"/>
        <w:rPr>
          <w:rFonts w:ascii="Arial" w:eastAsia="Times New Roman" w:hAnsi="Arial" w:cs="Arial"/>
          <w:lang w:eastAsia="pt-BR"/>
        </w:rPr>
      </w:pPr>
    </w:p>
    <w:p w:rsidR="00906E06" w:rsidRDefault="00AE7008" w:rsidP="00473B7E">
      <w:pPr>
        <w:jc w:val="both"/>
        <w:rPr>
          <w:rFonts w:ascii="Arial" w:eastAsia="Times New Roman" w:hAnsi="Arial" w:cs="Arial"/>
          <w:lang w:eastAsia="pt-BR"/>
        </w:rPr>
      </w:pPr>
      <w:r w:rsidRPr="00AE7008">
        <w:rPr>
          <w:rFonts w:ascii="Arial" w:eastAsia="Times New Roman" w:hAnsi="Arial" w:cs="Arial"/>
          <w:lang w:eastAsia="pt-BR"/>
        </w:rPr>
        <w:t>Considerando a constatação de possível indício</w:t>
      </w:r>
      <w:r w:rsidR="00473B7E" w:rsidRPr="00AE7008">
        <w:rPr>
          <w:rFonts w:ascii="Arial" w:eastAsia="Times New Roman" w:hAnsi="Arial" w:cs="Arial"/>
          <w:lang w:eastAsia="pt-BR"/>
        </w:rPr>
        <w:t xml:space="preserve"> de descumprimento do</w:t>
      </w:r>
      <w:r w:rsidR="00B95F20" w:rsidRPr="00AE7008">
        <w:rPr>
          <w:rFonts w:ascii="Arial" w:eastAsia="Times New Roman" w:hAnsi="Arial" w:cs="Arial"/>
          <w:lang w:eastAsia="pt-BR"/>
        </w:rPr>
        <w:t>s</w:t>
      </w:r>
      <w:r w:rsidR="00473B7E" w:rsidRPr="00AE7008">
        <w:rPr>
          <w:rFonts w:ascii="Arial" w:eastAsia="Times New Roman" w:hAnsi="Arial" w:cs="Arial"/>
          <w:lang w:eastAsia="pt-BR"/>
        </w:rPr>
        <w:t xml:space="preserve"> normativo</w:t>
      </w:r>
      <w:r w:rsidR="00B95F20" w:rsidRPr="00AE7008">
        <w:rPr>
          <w:rFonts w:ascii="Arial" w:eastAsia="Times New Roman" w:hAnsi="Arial" w:cs="Arial"/>
          <w:lang w:eastAsia="pt-BR"/>
        </w:rPr>
        <w:t>s</w:t>
      </w:r>
      <w:r w:rsidR="00473B7E" w:rsidRPr="00AE7008">
        <w:rPr>
          <w:rFonts w:ascii="Arial" w:eastAsia="Times New Roman" w:hAnsi="Arial" w:cs="Arial"/>
          <w:lang w:eastAsia="pt-BR"/>
        </w:rPr>
        <w:t xml:space="preserve"> supracitado</w:t>
      </w:r>
      <w:r w:rsidR="00B95F20" w:rsidRPr="00AE7008">
        <w:rPr>
          <w:rFonts w:ascii="Arial" w:eastAsia="Times New Roman" w:hAnsi="Arial" w:cs="Arial"/>
          <w:lang w:eastAsia="pt-BR"/>
        </w:rPr>
        <w:t>s</w:t>
      </w:r>
      <w:r w:rsidR="00FB28CA">
        <w:rPr>
          <w:rFonts w:ascii="Arial" w:eastAsia="Times New Roman" w:hAnsi="Arial" w:cs="Arial"/>
          <w:lang w:eastAsia="pt-BR"/>
        </w:rPr>
        <w:t>,</w:t>
      </w:r>
      <w:r w:rsidR="00473B7E" w:rsidRPr="00AE7008">
        <w:rPr>
          <w:rFonts w:ascii="Arial" w:eastAsia="Times New Roman" w:hAnsi="Arial" w:cs="Arial"/>
          <w:lang w:eastAsia="pt-BR"/>
        </w:rPr>
        <w:t xml:space="preserve"> </w:t>
      </w:r>
      <w:r w:rsidR="00FB28CA">
        <w:rPr>
          <w:rFonts w:ascii="Arial" w:eastAsia="Times New Roman" w:hAnsi="Arial" w:cs="Arial"/>
          <w:lang w:eastAsia="pt-BR"/>
        </w:rPr>
        <w:t>por meio de atividade fiscalizatória, de</w:t>
      </w:r>
      <w:r w:rsidRPr="00AE7008">
        <w:rPr>
          <w:rFonts w:ascii="Arial" w:eastAsia="Times New Roman" w:hAnsi="Arial" w:cs="Arial"/>
          <w:lang w:eastAsia="pt-BR"/>
        </w:rPr>
        <w:t xml:space="preserve"> Profissional Arquiteto e Urbanista com registro</w:t>
      </w:r>
      <w:r w:rsidR="00B95F20" w:rsidRPr="00AE7008">
        <w:rPr>
          <w:rFonts w:ascii="Arial" w:eastAsia="Times New Roman" w:hAnsi="Arial" w:cs="Arial"/>
          <w:lang w:eastAsia="pt-BR"/>
        </w:rPr>
        <w:t xml:space="preserve"> </w:t>
      </w:r>
      <w:r w:rsidRPr="00AE7008">
        <w:rPr>
          <w:rFonts w:ascii="Arial" w:eastAsia="Times New Roman" w:hAnsi="Arial" w:cs="Arial"/>
          <w:lang w:eastAsia="pt-BR"/>
        </w:rPr>
        <w:t>ativo</w:t>
      </w:r>
      <w:r w:rsidR="00E61ACC" w:rsidRPr="00AE7008">
        <w:rPr>
          <w:rFonts w:ascii="Arial" w:eastAsia="Times New Roman" w:hAnsi="Arial" w:cs="Arial"/>
          <w:lang w:eastAsia="pt-BR"/>
        </w:rPr>
        <w:t xml:space="preserve"> e encaminhado</w:t>
      </w:r>
      <w:r w:rsidR="00B95F20" w:rsidRPr="00AE7008">
        <w:rPr>
          <w:rFonts w:ascii="Arial" w:eastAsia="Times New Roman" w:hAnsi="Arial" w:cs="Arial"/>
          <w:lang w:eastAsia="pt-BR"/>
        </w:rPr>
        <w:t xml:space="preserve"> no</w:t>
      </w:r>
      <w:r w:rsidR="00B95F20" w:rsidRPr="00AE7008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B95F20" w:rsidRPr="00AE7008">
        <w:rPr>
          <w:rFonts w:ascii="Arial" w:eastAsia="Times New Roman" w:hAnsi="Arial" w:cs="Arial"/>
          <w:lang w:eastAsia="pt-BR"/>
        </w:rPr>
        <w:t>protocolo</w:t>
      </w:r>
      <w:r w:rsidR="00B95F20" w:rsidRPr="00AE7008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B95F20" w:rsidRPr="00AE7008">
        <w:rPr>
          <w:rFonts w:ascii="Arial" w:eastAsia="Times New Roman" w:hAnsi="Arial" w:cs="Arial"/>
          <w:lang w:eastAsia="pt-BR"/>
        </w:rPr>
        <w:t>nº</w:t>
      </w:r>
      <w:r w:rsidR="00BC1C34" w:rsidRPr="00AE7008">
        <w:rPr>
          <w:rFonts w:ascii="Arial" w:eastAsia="Times New Roman" w:hAnsi="Arial" w:cs="Arial"/>
          <w:lang w:eastAsia="pt-BR"/>
        </w:rPr>
        <w:t xml:space="preserve"> </w:t>
      </w:r>
      <w:r w:rsidR="00831B4D">
        <w:rPr>
          <w:rFonts w:ascii="Arial" w:eastAsia="Times New Roman" w:hAnsi="Arial" w:cs="Arial"/>
          <w:lang w:eastAsia="pt-BR"/>
        </w:rPr>
        <w:t>1499223/2022</w:t>
      </w:r>
      <w:r w:rsidR="00B95F20" w:rsidRPr="00AE7008">
        <w:rPr>
          <w:rFonts w:ascii="Arial" w:eastAsia="Times New Roman" w:hAnsi="Arial" w:cs="Arial"/>
          <w:lang w:eastAsia="pt-BR"/>
        </w:rPr>
        <w:t>;</w:t>
      </w:r>
    </w:p>
    <w:p w:rsidR="00381782" w:rsidRPr="00473B7E" w:rsidRDefault="00381782" w:rsidP="00473B7E">
      <w:pPr>
        <w:jc w:val="both"/>
        <w:rPr>
          <w:rFonts w:ascii="Arial" w:eastAsia="Times New Roman" w:hAnsi="Arial" w:cs="Arial"/>
          <w:lang w:eastAsia="pt-BR"/>
        </w:rPr>
      </w:pPr>
    </w:p>
    <w:p w:rsidR="00906E06" w:rsidRDefault="00906E06" w:rsidP="00906E0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2E7BE4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2E7BE4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:rsidR="00876C3D" w:rsidRDefault="00876C3D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9950E1" w:rsidRPr="00006CE7" w:rsidRDefault="009950E1">
      <w:pPr>
        <w:jc w:val="both"/>
        <w:rPr>
          <w:rFonts w:ascii="Arial" w:eastAsia="Times New Roman" w:hAnsi="Arial" w:cs="Arial"/>
          <w:b/>
          <w:lang w:eastAsia="pt-BR"/>
        </w:rPr>
      </w:pPr>
    </w:p>
    <w:p w:rsidR="00906E06" w:rsidRPr="00EA2219" w:rsidRDefault="00834701" w:rsidP="009950E1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</w:t>
      </w:r>
      <w:r w:rsidR="00CD01D9">
        <w:rPr>
          <w:rFonts w:ascii="Arial" w:hAnsi="Arial" w:cs="Arial"/>
          <w:bCs/>
        </w:rPr>
        <w:t>caminhar o protocolo</w:t>
      </w:r>
      <w:r w:rsidR="00EA50E5">
        <w:rPr>
          <w:rFonts w:ascii="Arial" w:hAnsi="Arial" w:cs="Arial"/>
          <w:bCs/>
        </w:rPr>
        <w:t xml:space="preserve"> </w:t>
      </w:r>
      <w:r w:rsidR="00831B4D">
        <w:rPr>
          <w:rFonts w:ascii="Arial" w:hAnsi="Arial" w:cs="Arial"/>
          <w:bCs/>
        </w:rPr>
        <w:t>1499223/2022</w:t>
      </w:r>
      <w:r w:rsidR="00CD01D9" w:rsidRPr="00CD01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para apreciação e providência</w:t>
      </w:r>
      <w:r w:rsidR="0030195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cabíveis no âmbito da CED</w:t>
      </w:r>
      <w:r w:rsidR="009950E1">
        <w:rPr>
          <w:rFonts w:ascii="Arial" w:hAnsi="Arial" w:cs="Arial"/>
          <w:bCs/>
        </w:rPr>
        <w:t>-CAU/</w:t>
      </w:r>
      <w:r>
        <w:rPr>
          <w:rFonts w:ascii="Arial" w:hAnsi="Arial" w:cs="Arial"/>
          <w:bCs/>
        </w:rPr>
        <w:t>SC;</w:t>
      </w:r>
    </w:p>
    <w:p w:rsidR="00906E06" w:rsidRDefault="00906E06" w:rsidP="00906E06">
      <w:pPr>
        <w:pStyle w:val="PargrafodaLista"/>
        <w:spacing w:line="276" w:lineRule="auto"/>
        <w:jc w:val="both"/>
        <w:rPr>
          <w:rFonts w:ascii="Arial" w:hAnsi="Arial" w:cs="Arial"/>
          <w:bCs/>
        </w:rPr>
      </w:pPr>
    </w:p>
    <w:p w:rsidR="00906E06" w:rsidRPr="002E7BE4" w:rsidRDefault="00906E06" w:rsidP="009950E1">
      <w:pPr>
        <w:pStyle w:val="PargrafodaLista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2E7BE4">
        <w:rPr>
          <w:rFonts w:ascii="Arial" w:hAnsi="Arial" w:cs="Arial"/>
          <w:bCs/>
        </w:rPr>
        <w:t>Encaminhar esta Deliberação à Presidência do CAU/SC para providências cabíveis.</w:t>
      </w:r>
    </w:p>
    <w:p w:rsidR="00906E06" w:rsidRDefault="00906E06">
      <w:pPr>
        <w:jc w:val="both"/>
        <w:rPr>
          <w:rFonts w:ascii="Arial" w:eastAsia="Times New Roman" w:hAnsi="Arial" w:cs="Arial"/>
          <w:lang w:eastAsia="pt-BR"/>
        </w:rPr>
      </w:pPr>
    </w:p>
    <w:p w:rsidR="00CD01D9" w:rsidRPr="00976A1A" w:rsidRDefault="00CD01D9" w:rsidP="00CD01D9">
      <w:pPr>
        <w:jc w:val="center"/>
        <w:rPr>
          <w:rFonts w:ascii="Arial" w:hAnsi="Arial" w:cs="Arial"/>
        </w:rPr>
      </w:pPr>
      <w:r w:rsidRPr="00976A1A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831B4D">
        <w:rPr>
          <w:rFonts w:ascii="Arial" w:hAnsi="Arial" w:cs="Arial"/>
        </w:rPr>
        <w:t>6</w:t>
      </w:r>
      <w:r w:rsidRPr="00976A1A">
        <w:rPr>
          <w:rFonts w:ascii="Arial" w:hAnsi="Arial" w:cs="Arial"/>
        </w:rPr>
        <w:t xml:space="preserve"> de </w:t>
      </w:r>
      <w:r w:rsidR="00831B4D">
        <w:rPr>
          <w:rFonts w:ascii="Arial" w:hAnsi="Arial" w:cs="Arial"/>
        </w:rPr>
        <w:t>abril</w:t>
      </w:r>
      <w:r w:rsidRPr="00976A1A">
        <w:rPr>
          <w:rFonts w:ascii="Arial" w:hAnsi="Arial" w:cs="Arial"/>
        </w:rPr>
        <w:t xml:space="preserve"> de 202</w:t>
      </w:r>
      <w:r w:rsidR="00174D51">
        <w:rPr>
          <w:rFonts w:ascii="Arial" w:hAnsi="Arial" w:cs="Arial"/>
        </w:rPr>
        <w:t>2</w:t>
      </w:r>
      <w:r w:rsidRPr="00976A1A">
        <w:rPr>
          <w:rFonts w:ascii="Arial" w:hAnsi="Arial" w:cs="Arial"/>
        </w:rPr>
        <w:t>.</w:t>
      </w:r>
    </w:p>
    <w:p w:rsidR="00CD01D9" w:rsidRPr="00976A1A" w:rsidRDefault="00CD01D9" w:rsidP="00CD01D9">
      <w:pPr>
        <w:jc w:val="center"/>
        <w:rPr>
          <w:rFonts w:ascii="Arial" w:hAnsi="Arial" w:cs="Arial"/>
        </w:rPr>
      </w:pPr>
    </w:p>
    <w:p w:rsidR="00CD01D9" w:rsidRPr="00881ECC" w:rsidRDefault="00CD01D9" w:rsidP="00CD01D9">
      <w:pPr>
        <w:jc w:val="both"/>
        <w:rPr>
          <w:rFonts w:ascii="Arial" w:hAnsi="Arial" w:cs="Arial"/>
          <w:bCs/>
        </w:rPr>
      </w:pPr>
      <w:r w:rsidRPr="00976A1A">
        <w:rPr>
          <w:rFonts w:ascii="Arial" w:hAnsi="Arial" w:cs="Arial"/>
          <w:bCs/>
        </w:rPr>
        <w:t>Considerando o estabelecido no item 1.3 da De</w:t>
      </w:r>
      <w:r w:rsidR="005272A2">
        <w:rPr>
          <w:rFonts w:ascii="Arial" w:hAnsi="Arial" w:cs="Arial"/>
          <w:bCs/>
        </w:rPr>
        <w:t>liberação Plenária CAU/SC nº 589</w:t>
      </w:r>
      <w:r w:rsidRPr="00976A1A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</w:t>
      </w:r>
      <w:r w:rsidRPr="00881ECC">
        <w:rPr>
          <w:rFonts w:ascii="Arial" w:hAnsi="Arial" w:cs="Arial"/>
          <w:bCs/>
        </w:rPr>
        <w:t>info</w:t>
      </w:r>
      <w:r w:rsidR="00831B4D">
        <w:rPr>
          <w:rFonts w:ascii="Arial" w:hAnsi="Arial" w:cs="Arial"/>
          <w:bCs/>
        </w:rPr>
        <w:t>rmações prestadas. Publique-se.</w:t>
      </w:r>
    </w:p>
    <w:p w:rsidR="00CD01D9" w:rsidRDefault="00CD01D9" w:rsidP="00CD01D9">
      <w:pPr>
        <w:jc w:val="center"/>
        <w:rPr>
          <w:rFonts w:ascii="Arial" w:hAnsi="Arial" w:cs="Arial"/>
          <w:bCs/>
        </w:rPr>
      </w:pPr>
    </w:p>
    <w:p w:rsidR="00876C3D" w:rsidRDefault="00876C3D" w:rsidP="00876C3D">
      <w:pPr>
        <w:jc w:val="center"/>
        <w:rPr>
          <w:rFonts w:ascii="Arial" w:eastAsiaTheme="minorHAnsi" w:hAnsi="Arial" w:cs="Arial"/>
          <w:b/>
          <w:bCs/>
        </w:rPr>
      </w:pPr>
    </w:p>
    <w:p w:rsidR="00876C3D" w:rsidRDefault="00876C3D" w:rsidP="00876C3D">
      <w:pPr>
        <w:jc w:val="center"/>
        <w:rPr>
          <w:rFonts w:ascii="Arial" w:eastAsiaTheme="minorHAnsi" w:hAnsi="Arial" w:cs="Arial"/>
          <w:b/>
          <w:bCs/>
        </w:rPr>
      </w:pPr>
    </w:p>
    <w:p w:rsidR="00876C3D" w:rsidRDefault="00876C3D" w:rsidP="00876C3D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Jaime Teixeira Chaves</w:t>
      </w:r>
    </w:p>
    <w:p w:rsidR="00876C3D" w:rsidRDefault="00876C3D" w:rsidP="00876C3D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Secretário dos Órgãos Colegiados</w:t>
      </w:r>
    </w:p>
    <w:p w:rsidR="00873670" w:rsidRDefault="00876C3D" w:rsidP="00876C3D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eastAsiaTheme="minorHAnsi" w:hAnsi="Arial" w:cs="Arial"/>
          <w:bCs/>
        </w:rPr>
        <w:t>do CAU/SC</w:t>
      </w:r>
      <w:r w:rsidR="00896E67">
        <w:br w:type="page"/>
      </w:r>
    </w:p>
    <w:p w:rsidR="009950E1" w:rsidRPr="00560B93" w:rsidRDefault="00831B4D" w:rsidP="009950E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9950E1" w:rsidRPr="00560B93">
        <w:rPr>
          <w:rFonts w:ascii="Arial" w:hAnsi="Arial" w:cs="Arial"/>
          <w:b/>
          <w:bCs/>
          <w:lang w:eastAsia="pt-BR"/>
        </w:rPr>
        <w:t xml:space="preserve">ª </w:t>
      </w:r>
      <w:r w:rsidR="009950E1" w:rsidRPr="00831B4D">
        <w:rPr>
          <w:rFonts w:ascii="Arial" w:hAnsi="Arial" w:cs="Arial"/>
          <w:b/>
          <w:bCs/>
          <w:lang w:eastAsia="pt-BR"/>
        </w:rPr>
        <w:t>REUNIÃO ORDINÁRIA DA CEP - CAU</w:t>
      </w:r>
      <w:r w:rsidR="009950E1" w:rsidRPr="00560B93">
        <w:rPr>
          <w:rFonts w:ascii="Arial" w:hAnsi="Arial" w:cs="Arial"/>
          <w:b/>
          <w:bCs/>
          <w:lang w:eastAsia="pt-BR"/>
        </w:rPr>
        <w:t>/SC</w:t>
      </w:r>
    </w:p>
    <w:p w:rsidR="009950E1" w:rsidRPr="00560B93" w:rsidRDefault="009950E1" w:rsidP="009950E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9950E1" w:rsidRPr="00560B93" w:rsidRDefault="00831B4D" w:rsidP="009950E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Folha de Votação</w:t>
      </w:r>
    </w:p>
    <w:p w:rsidR="009950E1" w:rsidRPr="00560B93" w:rsidRDefault="009950E1" w:rsidP="009950E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9950E1" w:rsidRPr="00560B93" w:rsidTr="00FE4D28">
        <w:tc>
          <w:tcPr>
            <w:tcW w:w="2830" w:type="dxa"/>
            <w:vMerge w:val="restart"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9950E1" w:rsidRPr="00560B93" w:rsidTr="00FE4D28">
        <w:tc>
          <w:tcPr>
            <w:tcW w:w="2830" w:type="dxa"/>
            <w:vMerge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9950E1" w:rsidRPr="00560B93" w:rsidTr="00FE4D28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950E1" w:rsidRPr="006B2955" w:rsidRDefault="009950E1" w:rsidP="00FE4D2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9950E1" w:rsidRPr="006B2955" w:rsidRDefault="009950E1" w:rsidP="00FE4D28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5272A2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950E1" w:rsidRPr="00560B93" w:rsidTr="00FE4D28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6B2955" w:rsidRDefault="009950E1" w:rsidP="00FE4D2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9950E1" w:rsidRPr="006B2955" w:rsidRDefault="009950E1" w:rsidP="00FE4D28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5272A2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950E1" w:rsidRPr="00560B93" w:rsidTr="00FE4D28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6B2955" w:rsidRDefault="009950E1" w:rsidP="00FE4D2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9950E1" w:rsidRPr="006B2955" w:rsidRDefault="00BD7FD7" w:rsidP="00FE4D28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5272A2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950E1" w:rsidRPr="00560B93" w:rsidTr="00FE4D28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6B2955" w:rsidRDefault="009950E1" w:rsidP="00FE4D2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9950E1" w:rsidRPr="006B2955" w:rsidRDefault="00BD7FD7" w:rsidP="00FE4D28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5272A2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9950E1" w:rsidRPr="00560B93" w:rsidRDefault="009950E1" w:rsidP="00FE4D2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950E1" w:rsidRPr="00560B93" w:rsidRDefault="009950E1" w:rsidP="009950E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9950E1" w:rsidRPr="00560B93" w:rsidTr="00FE4D2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950E1" w:rsidRPr="00560B93" w:rsidTr="00FE4D2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9950E1" w:rsidRPr="00560B93" w:rsidRDefault="009950E1" w:rsidP="00BD7F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BD7FD7">
              <w:rPr>
                <w:rFonts w:ascii="Arial" w:hAnsi="Arial" w:cs="Arial"/>
              </w:rPr>
              <w:t>4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BD7FD7">
              <w:rPr>
                <w:rFonts w:ascii="Arial" w:hAnsi="Arial" w:cs="Arial"/>
              </w:rPr>
              <w:t>Reunião Ordinária de 2022</w:t>
            </w:r>
          </w:p>
        </w:tc>
      </w:tr>
      <w:tr w:rsidR="009950E1" w:rsidRPr="00560B93" w:rsidTr="00FE4D2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D7FD7">
              <w:rPr>
                <w:rFonts w:ascii="Arial" w:hAnsi="Arial" w:cs="Arial"/>
                <w:b/>
              </w:rPr>
              <w:t xml:space="preserve">Data: </w:t>
            </w:r>
            <w:r w:rsidR="00BD7FD7">
              <w:rPr>
                <w:rFonts w:ascii="Arial" w:hAnsi="Arial" w:cs="Arial"/>
              </w:rPr>
              <w:t>26</w:t>
            </w:r>
            <w:r w:rsidRPr="00BD7FD7">
              <w:rPr>
                <w:rFonts w:ascii="Arial" w:hAnsi="Arial" w:cs="Arial"/>
              </w:rPr>
              <w:t>/</w:t>
            </w:r>
            <w:r w:rsidR="00BD7FD7">
              <w:rPr>
                <w:rFonts w:ascii="Arial" w:hAnsi="Arial" w:cs="Arial"/>
              </w:rPr>
              <w:t>04</w:t>
            </w:r>
            <w:r w:rsidRPr="00BD7FD7">
              <w:rPr>
                <w:rFonts w:ascii="Arial" w:hAnsi="Arial" w:cs="Arial"/>
              </w:rPr>
              <w:t>/2022</w:t>
            </w:r>
          </w:p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lang w:eastAsia="pt-BR"/>
              </w:rPr>
              <w:t>Encaminhamento de indício(s) de descumprimento da Res. 52</w:t>
            </w:r>
            <w:r w:rsidRPr="00834701">
              <w:rPr>
                <w:rFonts w:ascii="Arial" w:eastAsia="Times New Roman" w:hAnsi="Arial" w:cs="Arial"/>
                <w:lang w:eastAsia="pt-BR"/>
              </w:rPr>
              <w:t xml:space="preserve"> do CAU/BR para apreciação e providências cabíveis da Comissão de Ética e Disciplina do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950E1" w:rsidRPr="00560B93" w:rsidTr="00FE4D2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835E84">
              <w:rPr>
                <w:rFonts w:ascii="Arial" w:hAnsi="Arial" w:cs="Arial"/>
              </w:rPr>
              <w:t>4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CD2A7B">
              <w:rPr>
                <w:rFonts w:ascii="Arial" w:hAnsi="Arial" w:cs="Arial"/>
              </w:rPr>
              <w:t>0</w:t>
            </w:r>
            <w:r w:rsidR="00C67CC6">
              <w:rPr>
                <w:rFonts w:ascii="Arial" w:hAnsi="Arial" w:cs="Arial"/>
              </w:rPr>
              <w:t>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="00C67CC6"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CD2A7B">
              <w:rPr>
                <w:rFonts w:ascii="Arial" w:hAnsi="Arial" w:cs="Arial"/>
              </w:rPr>
              <w:t>0</w:t>
            </w:r>
            <w:r w:rsidR="00C67CC6">
              <w:rPr>
                <w:rFonts w:ascii="Arial" w:hAnsi="Arial" w:cs="Arial"/>
              </w:rPr>
              <w:t>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C67CC6">
              <w:rPr>
                <w:rFonts w:ascii="Arial" w:hAnsi="Arial" w:cs="Arial"/>
              </w:rPr>
              <w:t>0</w:t>
            </w:r>
            <w:r w:rsidR="00CD2A7B">
              <w:rPr>
                <w:rFonts w:ascii="Arial" w:hAnsi="Arial" w:cs="Arial"/>
              </w:rPr>
              <w:t>4</w:t>
            </w:r>
            <w:r w:rsidRPr="00560B93">
              <w:rPr>
                <w:rFonts w:ascii="Arial" w:hAnsi="Arial" w:cs="Arial"/>
              </w:rPr>
              <w:t>)</w:t>
            </w:r>
          </w:p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950E1" w:rsidRPr="00560B93" w:rsidTr="00FE4D2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9950E1" w:rsidRPr="00560B93" w:rsidRDefault="009950E1" w:rsidP="00FE4D2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9950E1" w:rsidRPr="00560B93" w:rsidTr="00FE4D28">
        <w:trPr>
          <w:trHeight w:val="257"/>
        </w:trPr>
        <w:tc>
          <w:tcPr>
            <w:tcW w:w="4530" w:type="dxa"/>
            <w:shd w:val="clear" w:color="auto" w:fill="D9D9D9"/>
          </w:tcPr>
          <w:p w:rsidR="009950E1" w:rsidRPr="00C675EE" w:rsidRDefault="009950E1" w:rsidP="00FE4D2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9950E1" w:rsidRPr="00C675EE" w:rsidRDefault="009950E1" w:rsidP="00FE4D2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9950E1" w:rsidRPr="00C675EE" w:rsidRDefault="009950E1" w:rsidP="00FE4D2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9950E1" w:rsidRPr="00560B93" w:rsidRDefault="009950E1" w:rsidP="009950E1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 w:rsidSect="00876C3D">
      <w:headerReference w:type="default" r:id="rId8"/>
      <w:footerReference w:type="default" r:id="rId9"/>
      <w:pgSz w:w="11906" w:h="16838"/>
      <w:pgMar w:top="1135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C4" w:rsidRDefault="00B104C4">
      <w:r>
        <w:separator/>
      </w:r>
    </w:p>
  </w:endnote>
  <w:endnote w:type="continuationSeparator" w:id="0">
    <w:p w:rsidR="00B104C4" w:rsidRDefault="00B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6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7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C4" w:rsidRDefault="00B104C4">
      <w:r>
        <w:separator/>
      </w:r>
    </w:p>
  </w:footnote>
  <w:footnote w:type="continuationSeparator" w:id="0">
    <w:p w:rsidR="00B104C4" w:rsidRDefault="00B1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25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CF8"/>
    <w:multiLevelType w:val="hybridMultilevel"/>
    <w:tmpl w:val="BE846A9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47203"/>
    <w:rsid w:val="001537B2"/>
    <w:rsid w:val="00153C59"/>
    <w:rsid w:val="001650A9"/>
    <w:rsid w:val="00174D51"/>
    <w:rsid w:val="002A0AD0"/>
    <w:rsid w:val="00301955"/>
    <w:rsid w:val="00381782"/>
    <w:rsid w:val="00381D35"/>
    <w:rsid w:val="004161BD"/>
    <w:rsid w:val="00425DC7"/>
    <w:rsid w:val="00473B7E"/>
    <w:rsid w:val="00504226"/>
    <w:rsid w:val="005272A2"/>
    <w:rsid w:val="005944C3"/>
    <w:rsid w:val="006D5EAE"/>
    <w:rsid w:val="006F4299"/>
    <w:rsid w:val="00712D2D"/>
    <w:rsid w:val="007E3F37"/>
    <w:rsid w:val="007F4B5A"/>
    <w:rsid w:val="00831B4D"/>
    <w:rsid w:val="00834701"/>
    <w:rsid w:val="00835E84"/>
    <w:rsid w:val="0084098F"/>
    <w:rsid w:val="00872F5B"/>
    <w:rsid w:val="00873670"/>
    <w:rsid w:val="00876C3D"/>
    <w:rsid w:val="00881248"/>
    <w:rsid w:val="00896E67"/>
    <w:rsid w:val="008A3CEA"/>
    <w:rsid w:val="008D38E6"/>
    <w:rsid w:val="00906E06"/>
    <w:rsid w:val="009749D1"/>
    <w:rsid w:val="00977C27"/>
    <w:rsid w:val="009950E1"/>
    <w:rsid w:val="009A7FA8"/>
    <w:rsid w:val="009D1D65"/>
    <w:rsid w:val="00A011A0"/>
    <w:rsid w:val="00A218F3"/>
    <w:rsid w:val="00A571E4"/>
    <w:rsid w:val="00AD74A7"/>
    <w:rsid w:val="00AE7008"/>
    <w:rsid w:val="00B104C4"/>
    <w:rsid w:val="00B41563"/>
    <w:rsid w:val="00B67D3C"/>
    <w:rsid w:val="00B95F20"/>
    <w:rsid w:val="00BC1C34"/>
    <w:rsid w:val="00BD7FD7"/>
    <w:rsid w:val="00BE1C1C"/>
    <w:rsid w:val="00C20ACD"/>
    <w:rsid w:val="00C323B9"/>
    <w:rsid w:val="00C44773"/>
    <w:rsid w:val="00C67CC6"/>
    <w:rsid w:val="00C943DC"/>
    <w:rsid w:val="00CD01D9"/>
    <w:rsid w:val="00CD2A7B"/>
    <w:rsid w:val="00D27338"/>
    <w:rsid w:val="00D46ADA"/>
    <w:rsid w:val="00D73613"/>
    <w:rsid w:val="00D73EE8"/>
    <w:rsid w:val="00DF5167"/>
    <w:rsid w:val="00E61ACC"/>
    <w:rsid w:val="00EA50E5"/>
    <w:rsid w:val="00EE6FEE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E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BAB4-1822-4270-A0BE-A0153DC2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5</cp:revision>
  <cp:lastPrinted>2019-09-23T17:49:00Z</cp:lastPrinted>
  <dcterms:created xsi:type="dcterms:W3CDTF">2022-04-27T13:42:00Z</dcterms:created>
  <dcterms:modified xsi:type="dcterms:W3CDTF">2022-04-27T14:30:00Z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