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83751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375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1495545/2022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164D9" w:rsidRDefault="004F1A17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37517">
              <w:rPr>
                <w:rFonts w:ascii="Arial" w:hAnsi="Arial" w:cs="Arial"/>
                <w:sz w:val="22"/>
                <w:szCs w:val="22"/>
              </w:rPr>
              <w:t>Elmar</w:t>
            </w:r>
            <w:proofErr w:type="spellEnd"/>
            <w:r w:rsidRPr="008375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517">
              <w:rPr>
                <w:rFonts w:ascii="Arial" w:hAnsi="Arial" w:cs="Arial"/>
                <w:sz w:val="22"/>
                <w:szCs w:val="22"/>
              </w:rPr>
              <w:t>Cleverton</w:t>
            </w:r>
            <w:proofErr w:type="spellEnd"/>
            <w:r w:rsidRPr="008375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37517">
              <w:rPr>
                <w:rFonts w:ascii="Arial" w:hAnsi="Arial" w:cs="Arial"/>
                <w:sz w:val="22"/>
                <w:szCs w:val="22"/>
              </w:rPr>
              <w:t>Schmoeller</w:t>
            </w:r>
            <w:proofErr w:type="spellEnd"/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0B391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164D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8375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E78C4" w:rsidRPr="006C27D8" w:rsidRDefault="009E78C4" w:rsidP="009E78C4">
      <w:pPr>
        <w:jc w:val="both"/>
        <w:rPr>
          <w:rFonts w:ascii="Arial" w:hAnsi="Arial" w:cs="Arial"/>
          <w:sz w:val="22"/>
          <w:szCs w:val="22"/>
        </w:rPr>
      </w:pPr>
      <w:r w:rsidRPr="006C27D8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ordinariamente, de forma virtual, </w:t>
      </w:r>
      <w:r w:rsidRPr="009B3BF2">
        <w:rPr>
          <w:rFonts w:ascii="Arial" w:hAnsi="Arial" w:cs="Arial"/>
          <w:sz w:val="22"/>
          <w:szCs w:val="22"/>
        </w:rPr>
        <w:t>nos termos da Deliberação Plenária CAU/SC nº 58</w:t>
      </w:r>
      <w:r>
        <w:rPr>
          <w:rFonts w:ascii="Arial" w:hAnsi="Arial" w:cs="Arial"/>
          <w:sz w:val="22"/>
          <w:szCs w:val="22"/>
        </w:rPr>
        <w:t>9</w:t>
      </w:r>
      <w:r w:rsidRPr="009B3BF2">
        <w:rPr>
          <w:rFonts w:ascii="Arial" w:hAnsi="Arial" w:cs="Arial"/>
          <w:sz w:val="22"/>
          <w:szCs w:val="22"/>
        </w:rPr>
        <w:t>/2021, e presencial, nos termos da Deliberação Plenária CAU/SC nº 6</w:t>
      </w:r>
      <w:r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,</w:t>
      </w:r>
      <w:r w:rsidRPr="006C27D8">
        <w:rPr>
          <w:rFonts w:ascii="Arial" w:hAnsi="Arial" w:cs="Arial"/>
          <w:sz w:val="22"/>
          <w:szCs w:val="22"/>
        </w:rPr>
        <w:t xml:space="preserve"> no uso das competências que lhe conferem os artigos 91 e 96 do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47615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E47615">
        <w:rPr>
          <w:rFonts w:ascii="Arial" w:hAnsi="Arial" w:cs="Arial"/>
          <w:sz w:val="22"/>
          <w:szCs w:val="22"/>
        </w:rPr>
        <w:t xml:space="preserve">Considerando </w:t>
      </w:r>
      <w:r w:rsidR="00AA5E68" w:rsidRPr="00E47615">
        <w:rPr>
          <w:rFonts w:ascii="Arial" w:hAnsi="Arial" w:cs="Arial"/>
          <w:sz w:val="22"/>
          <w:szCs w:val="22"/>
        </w:rPr>
        <w:t xml:space="preserve">que já houve </w:t>
      </w:r>
      <w:r w:rsidR="00537498" w:rsidRPr="00E47615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E47615">
        <w:rPr>
          <w:rFonts w:ascii="Arial" w:hAnsi="Arial" w:cs="Arial"/>
          <w:sz w:val="22"/>
          <w:szCs w:val="22"/>
        </w:rPr>
        <w:t xml:space="preserve"> </w:t>
      </w:r>
      <w:r w:rsidR="004E398D" w:rsidRPr="00E47615">
        <w:rPr>
          <w:rFonts w:ascii="Arial" w:hAnsi="Arial" w:cs="Arial"/>
          <w:sz w:val="22"/>
          <w:szCs w:val="22"/>
        </w:rPr>
        <w:t xml:space="preserve">e foi negado. </w:t>
      </w:r>
    </w:p>
    <w:p w:rsidR="00E01EE7" w:rsidRPr="00BE2FCF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Pr="00BE2FCF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BE2FCF">
        <w:rPr>
          <w:rFonts w:ascii="Arial" w:hAnsi="Arial" w:cs="Arial"/>
          <w:sz w:val="22"/>
          <w:szCs w:val="22"/>
        </w:rPr>
        <w:t>Considerando que segundo o art. 5º da Lei nº 12.514/2011 que dispõe que “O fato gerador das anuidades é a existência de inscrição no conselho, ainda que por tempo limitado, ao longo do exercício” e nesse sentido, uma vez ativo o registro perante o CAU, o fato de o profissional não exercer a atividade de arquiteto e urbanista não lhe exime do pagamento das anuidades enquanto não solicitada sua interrupção ou cancelamento, providência que incumbe apenas à parte interessada.</w:t>
      </w:r>
    </w:p>
    <w:p w:rsidR="003B3B06" w:rsidRPr="009D0DFD" w:rsidRDefault="003B3B06" w:rsidP="003B3B0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B3B06" w:rsidRPr="00BE2FCF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BE2FCF">
        <w:rPr>
          <w:rFonts w:ascii="Arial" w:hAnsi="Arial" w:cs="Arial"/>
          <w:sz w:val="22"/>
          <w:szCs w:val="22"/>
        </w:rPr>
        <w:t xml:space="preserve">Considerando o assunto, guardadas as devidas peculiaridades, já se manifestou o Tribunal Regional Federal da 4ª Região: “Com efeito, existindo regular inscrição junto ao Conselho, o afastamento do exercício da atividade não possui o condão, por si só, de legitimar o não-recolhimento das anuidades, sendo imprescindível o pedido de cancelamento à instituição”. </w:t>
      </w:r>
    </w:p>
    <w:p w:rsidR="003B3B06" w:rsidRPr="009D0DFD" w:rsidRDefault="003B3B06" w:rsidP="003B3B0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0C4E6B">
        <w:rPr>
          <w:rFonts w:ascii="Arial" w:hAnsi="Arial" w:cs="Arial"/>
          <w:sz w:val="22"/>
          <w:szCs w:val="22"/>
        </w:rPr>
        <w:t>Considerando que</w:t>
      </w:r>
      <w:r w:rsidR="000C4E6B" w:rsidRPr="000C4E6B">
        <w:rPr>
          <w:rFonts w:ascii="Arial" w:hAnsi="Arial" w:cs="Arial"/>
          <w:sz w:val="22"/>
          <w:szCs w:val="22"/>
        </w:rPr>
        <w:t>,</w:t>
      </w:r>
      <w:r w:rsidRPr="000C4E6B">
        <w:rPr>
          <w:rFonts w:ascii="Arial" w:hAnsi="Arial" w:cs="Arial"/>
          <w:sz w:val="22"/>
          <w:szCs w:val="22"/>
        </w:rPr>
        <w:t xml:space="preserve"> após consulta no histórico do SICCAU, constatou-se que nenhum protocolo de interrupção de registro foi gerado durante o período </w:t>
      </w:r>
      <w:r w:rsidR="000C4E6B" w:rsidRPr="000C4E6B">
        <w:rPr>
          <w:rFonts w:ascii="Arial" w:hAnsi="Arial" w:cs="Arial"/>
          <w:sz w:val="22"/>
          <w:szCs w:val="22"/>
        </w:rPr>
        <w:t xml:space="preserve">de inatividade </w:t>
      </w:r>
      <w:r w:rsidRPr="000C4E6B">
        <w:rPr>
          <w:rFonts w:ascii="Arial" w:hAnsi="Arial" w:cs="Arial"/>
          <w:sz w:val="22"/>
          <w:szCs w:val="22"/>
        </w:rPr>
        <w:t>indicado pel</w:t>
      </w:r>
      <w:r w:rsidR="00713261" w:rsidRPr="000C4E6B">
        <w:rPr>
          <w:rFonts w:ascii="Arial" w:hAnsi="Arial" w:cs="Arial"/>
          <w:sz w:val="22"/>
          <w:szCs w:val="22"/>
        </w:rPr>
        <w:t>o</w:t>
      </w:r>
      <w:r w:rsidR="000C4E6B" w:rsidRPr="000C4E6B">
        <w:rPr>
          <w:rFonts w:ascii="Arial" w:hAnsi="Arial" w:cs="Arial"/>
          <w:sz w:val="22"/>
          <w:szCs w:val="22"/>
        </w:rPr>
        <w:t xml:space="preserve"> profissional e que, apenas em 07/02/2022, por meio do protocolo, nº 1472131/2022, é que foi registrada a solicitação de interrupção de registro, que, inclusive, já foi deferida pela Comissão Ordinária de Exercício Profissional (CEP-SC), com data de interrupção cadastrada a partir da data de cadastro do requerimento, conforme prevê §1º do art. 7º da Resolução nº 167 do CAU/BR</w:t>
      </w:r>
      <w:r w:rsidR="000C4E6B">
        <w:rPr>
          <w:rFonts w:ascii="Arial" w:hAnsi="Arial" w:cs="Arial"/>
          <w:sz w:val="22"/>
          <w:szCs w:val="22"/>
        </w:rPr>
        <w:t>;</w:t>
      </w:r>
    </w:p>
    <w:p w:rsidR="000C4E6B" w:rsidRDefault="000C4E6B" w:rsidP="003B3B06">
      <w:pPr>
        <w:jc w:val="both"/>
        <w:rPr>
          <w:rFonts w:ascii="Arial" w:hAnsi="Arial" w:cs="Arial"/>
          <w:sz w:val="22"/>
          <w:szCs w:val="22"/>
        </w:rPr>
      </w:pPr>
    </w:p>
    <w:p w:rsidR="000C4E6B" w:rsidRPr="000C4E6B" w:rsidRDefault="000C4E6B" w:rsidP="003B3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que, após análise da Gerência Técnica, ficou comprovado que o profissional solicitou seu registro no CAU/PR e que enviou documentos para </w:t>
      </w:r>
      <w:r w:rsidR="00FF3939">
        <w:rPr>
          <w:rFonts w:ascii="Arial" w:hAnsi="Arial" w:cs="Arial"/>
          <w:sz w:val="22"/>
          <w:szCs w:val="22"/>
        </w:rPr>
        <w:t>efetivá-lo;</w:t>
      </w:r>
    </w:p>
    <w:p w:rsidR="003B3B06" w:rsidRPr="009D0DFD" w:rsidRDefault="003B3B06" w:rsidP="003B3B0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FF3939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FF3939">
        <w:rPr>
          <w:rFonts w:ascii="Arial" w:hAnsi="Arial" w:cs="Arial"/>
          <w:sz w:val="22"/>
          <w:szCs w:val="22"/>
        </w:rPr>
        <w:t xml:space="preserve"> exposto</w:t>
      </w:r>
      <w:r w:rsidR="00FF3939" w:rsidRPr="00FF3939">
        <w:rPr>
          <w:rFonts w:ascii="Arial" w:hAnsi="Arial" w:cs="Arial"/>
          <w:sz w:val="22"/>
          <w:szCs w:val="22"/>
        </w:rPr>
        <w:t>s pela Resolução 193 do CAU/BR;</w:t>
      </w:r>
    </w:p>
    <w:p w:rsidR="00012467" w:rsidRP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lastRenderedPageBreak/>
        <w:t>Considerando a interposição do recurso à COAF por parte da interessada;</w:t>
      </w:r>
      <w:r w:rsidR="004F1A17">
        <w:rPr>
          <w:rFonts w:ascii="Arial" w:hAnsi="Arial" w:cs="Arial"/>
          <w:sz w:val="22"/>
          <w:szCs w:val="22"/>
        </w:rPr>
        <w:t xml:space="preserve"> e</w:t>
      </w:r>
    </w:p>
    <w:p w:rsidR="00012467" w:rsidRP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t>Considerando a análise e discussão do recurso por parte da COAF- CAU/SC.</w:t>
      </w:r>
    </w:p>
    <w:p w:rsidR="004F1A17" w:rsidRPr="003B3B06" w:rsidRDefault="004F1A17" w:rsidP="00012467">
      <w:pPr>
        <w:jc w:val="both"/>
        <w:rPr>
          <w:rFonts w:ascii="Arial" w:hAnsi="Arial" w:cs="Arial"/>
          <w:sz w:val="22"/>
          <w:szCs w:val="22"/>
        </w:rPr>
      </w:pPr>
    </w:p>
    <w:p w:rsidR="00CA736F" w:rsidRDefault="00CA736F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4F1A17" w:rsidRPr="006D188D" w:rsidRDefault="004F1A1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012467" w:rsidRDefault="00012467" w:rsidP="00012467">
      <w:pPr>
        <w:pStyle w:val="PargrafodaLista"/>
        <w:numPr>
          <w:ilvl w:val="0"/>
          <w:numId w:val="37"/>
        </w:numPr>
        <w:rPr>
          <w:rFonts w:ascii="Arial" w:hAnsi="Arial" w:cs="Arial"/>
          <w:sz w:val="22"/>
        </w:rPr>
      </w:pPr>
      <w:r w:rsidRPr="00012467">
        <w:rPr>
          <w:rFonts w:ascii="Arial" w:hAnsi="Arial" w:cs="Arial"/>
          <w:sz w:val="22"/>
        </w:rPr>
        <w:t xml:space="preserve">Por </w:t>
      </w:r>
      <w:r w:rsidR="009A0166">
        <w:rPr>
          <w:rFonts w:ascii="Arial" w:hAnsi="Arial" w:cs="Arial"/>
          <w:sz w:val="22"/>
        </w:rPr>
        <w:t>não prover</w:t>
      </w:r>
      <w:r w:rsidRPr="00012467">
        <w:rPr>
          <w:rFonts w:ascii="Arial" w:hAnsi="Arial" w:cs="Arial"/>
          <w:sz w:val="22"/>
        </w:rPr>
        <w:t xml:space="preserve"> o </w:t>
      </w:r>
      <w:r>
        <w:rPr>
          <w:rFonts w:ascii="Arial" w:hAnsi="Arial" w:cs="Arial"/>
          <w:sz w:val="22"/>
        </w:rPr>
        <w:t>recurso de revisão de cobrança;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B21219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A4567B" w:rsidRDefault="00A4567B" w:rsidP="00410558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4567B">
        <w:rPr>
          <w:rFonts w:ascii="Arial" w:hAnsi="Arial" w:cs="Arial"/>
          <w:sz w:val="22"/>
          <w:szCs w:val="22"/>
        </w:rPr>
        <w:t>2</w:t>
      </w:r>
      <w:r w:rsidR="00646458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B67BA9">
        <w:rPr>
          <w:rFonts w:ascii="Arial" w:hAnsi="Arial" w:cs="Arial"/>
          <w:sz w:val="22"/>
          <w:szCs w:val="22"/>
        </w:rPr>
        <w:t>ma</w:t>
      </w:r>
      <w:r w:rsidR="009D0DFD">
        <w:rPr>
          <w:rFonts w:ascii="Arial" w:hAnsi="Arial" w:cs="Arial"/>
          <w:sz w:val="22"/>
          <w:szCs w:val="22"/>
        </w:rPr>
        <w:t>io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4F1A17" w:rsidRPr="004F1A17" w:rsidRDefault="004F1A17" w:rsidP="004F1A1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105062876"/>
      <w:r w:rsidRPr="004F1A17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4F1A17" w:rsidRPr="004F1A17" w:rsidRDefault="004F1A17" w:rsidP="004F1A17">
      <w:pPr>
        <w:jc w:val="center"/>
        <w:rPr>
          <w:rFonts w:ascii="Arial" w:hAnsi="Arial" w:cs="Arial"/>
          <w:b/>
          <w:sz w:val="22"/>
          <w:szCs w:val="22"/>
        </w:rPr>
      </w:pPr>
    </w:p>
    <w:p w:rsidR="004F1A17" w:rsidRDefault="004F1A17" w:rsidP="004F1A17">
      <w:pPr>
        <w:jc w:val="center"/>
        <w:rPr>
          <w:rFonts w:ascii="Arial" w:hAnsi="Arial" w:cs="Arial"/>
          <w:b/>
          <w:sz w:val="22"/>
          <w:szCs w:val="22"/>
        </w:rPr>
      </w:pPr>
    </w:p>
    <w:p w:rsidR="004F1A17" w:rsidRPr="004F1A17" w:rsidRDefault="004F1A17" w:rsidP="004F1A17">
      <w:pPr>
        <w:jc w:val="center"/>
        <w:rPr>
          <w:rFonts w:ascii="Arial" w:hAnsi="Arial" w:cs="Arial"/>
          <w:b/>
          <w:sz w:val="22"/>
          <w:szCs w:val="22"/>
        </w:rPr>
      </w:pPr>
    </w:p>
    <w:p w:rsidR="004F1A17" w:rsidRPr="004F1A17" w:rsidRDefault="004F1A17" w:rsidP="004F1A17">
      <w:pPr>
        <w:jc w:val="center"/>
        <w:rPr>
          <w:rFonts w:ascii="Arial" w:hAnsi="Arial" w:cs="Arial"/>
          <w:b/>
          <w:sz w:val="22"/>
          <w:szCs w:val="22"/>
        </w:rPr>
      </w:pPr>
    </w:p>
    <w:p w:rsidR="004F1A17" w:rsidRPr="004F1A17" w:rsidRDefault="004F1A17" w:rsidP="004F1A17">
      <w:pPr>
        <w:jc w:val="center"/>
        <w:rPr>
          <w:rFonts w:ascii="Arial" w:hAnsi="Arial" w:cs="Arial"/>
          <w:b/>
          <w:sz w:val="22"/>
          <w:szCs w:val="22"/>
        </w:rPr>
      </w:pPr>
      <w:r w:rsidRPr="004F1A17">
        <w:rPr>
          <w:rFonts w:ascii="Arial" w:hAnsi="Arial" w:cs="Arial"/>
          <w:b/>
          <w:sz w:val="22"/>
          <w:szCs w:val="22"/>
        </w:rPr>
        <w:t>Jaime Teixeira Chaves</w:t>
      </w:r>
    </w:p>
    <w:p w:rsidR="004F1A17" w:rsidRPr="004F1A17" w:rsidRDefault="004F1A17" w:rsidP="004F1A17">
      <w:pPr>
        <w:jc w:val="center"/>
        <w:rPr>
          <w:rFonts w:ascii="Arial" w:hAnsi="Arial" w:cs="Arial"/>
          <w:sz w:val="22"/>
          <w:szCs w:val="22"/>
        </w:rPr>
      </w:pPr>
      <w:r w:rsidRPr="004F1A17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4F1A17" w:rsidRPr="004F1A17" w:rsidRDefault="004F1A17" w:rsidP="004F1A17">
      <w:pPr>
        <w:jc w:val="center"/>
        <w:rPr>
          <w:rFonts w:ascii="Arial" w:hAnsi="Arial" w:cs="Arial"/>
          <w:sz w:val="22"/>
          <w:szCs w:val="22"/>
        </w:rPr>
      </w:pPr>
      <w:r w:rsidRPr="004F1A17">
        <w:rPr>
          <w:rFonts w:ascii="Arial" w:hAnsi="Arial" w:cs="Arial"/>
          <w:sz w:val="22"/>
          <w:szCs w:val="22"/>
        </w:rPr>
        <w:t>do CAU/SC</w:t>
      </w:r>
    </w:p>
    <w:bookmarkEnd w:id="0"/>
    <w:p w:rsidR="00FF2B65" w:rsidRDefault="00FF2B65" w:rsidP="00A4567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AE30B0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9E78C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  <w:bookmarkStart w:id="1" w:name="_GoBack"/>
            <w:bookmarkEnd w:id="1"/>
          </w:p>
        </w:tc>
        <w:tc>
          <w:tcPr>
            <w:tcW w:w="3685" w:type="dxa"/>
          </w:tcPr>
          <w:p w:rsidR="00355A05" w:rsidRPr="00355A05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E30B0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332BD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2BD"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E30B0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077A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AE7">
              <w:rPr>
                <w:rFonts w:ascii="Arial" w:hAnsi="Arial" w:cs="Arial"/>
                <w:sz w:val="22"/>
                <w:szCs w:val="22"/>
              </w:rPr>
              <w:t>5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077AE7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077AE7">
              <w:rPr>
                <w:rFonts w:ascii="Arial" w:hAnsi="Arial" w:cs="Arial"/>
                <w:sz w:val="22"/>
                <w:szCs w:val="22"/>
              </w:rPr>
              <w:t>5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0B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8C4">
              <w:rPr>
                <w:rFonts w:ascii="Arial" w:hAnsi="Arial" w:cs="Arial"/>
                <w:sz w:val="22"/>
                <w:szCs w:val="22"/>
              </w:rPr>
              <w:t>0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8C4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8C4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9E78C4" w:rsidRPr="006D188D" w:rsidRDefault="009E78C4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F393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1A17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E78C4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EDFB6C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F1C3-113F-4296-8E4B-8DD181DA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2021-03-01T18:36:00Z</cp:lastPrinted>
  <dcterms:created xsi:type="dcterms:W3CDTF">2022-05-23T17:45:00Z</dcterms:created>
  <dcterms:modified xsi:type="dcterms:W3CDTF">2022-06-02T15:12:00Z</dcterms:modified>
</cp:coreProperties>
</file>