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A1610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161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1523269/2022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164D9" w:rsidRDefault="00C96D0E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16100">
              <w:rPr>
                <w:rFonts w:ascii="Arial" w:hAnsi="Arial" w:cs="Arial"/>
                <w:sz w:val="22"/>
                <w:szCs w:val="22"/>
              </w:rPr>
              <w:t xml:space="preserve">Carla Nunes </w:t>
            </w:r>
            <w:proofErr w:type="spellStart"/>
            <w:r w:rsidRPr="00A16100">
              <w:rPr>
                <w:rFonts w:ascii="Arial" w:hAnsi="Arial" w:cs="Arial"/>
                <w:sz w:val="22"/>
                <w:szCs w:val="22"/>
              </w:rPr>
              <w:t>Castano</w:t>
            </w:r>
            <w:proofErr w:type="spellEnd"/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161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164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A161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201CD1" w:rsidRPr="006C27D8" w:rsidRDefault="00201CD1" w:rsidP="00201CD1">
      <w:pPr>
        <w:jc w:val="both"/>
        <w:rPr>
          <w:rFonts w:ascii="Arial" w:hAnsi="Arial" w:cs="Arial"/>
          <w:sz w:val="22"/>
          <w:szCs w:val="22"/>
        </w:rPr>
      </w:pPr>
      <w:r w:rsidRPr="006C27D8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ordinariamente, de forma virtual, </w:t>
      </w:r>
      <w:r w:rsidRPr="009B3BF2">
        <w:rPr>
          <w:rFonts w:ascii="Arial" w:hAnsi="Arial" w:cs="Arial"/>
          <w:sz w:val="22"/>
          <w:szCs w:val="22"/>
        </w:rPr>
        <w:t>nos termos da Deliberação Plenária CAU/SC nº 58</w:t>
      </w:r>
      <w:r>
        <w:rPr>
          <w:rFonts w:ascii="Arial" w:hAnsi="Arial" w:cs="Arial"/>
          <w:sz w:val="22"/>
          <w:szCs w:val="22"/>
        </w:rPr>
        <w:t>9</w:t>
      </w:r>
      <w:r w:rsidRPr="009B3BF2">
        <w:rPr>
          <w:rFonts w:ascii="Arial" w:hAnsi="Arial" w:cs="Arial"/>
          <w:sz w:val="22"/>
          <w:szCs w:val="22"/>
        </w:rPr>
        <w:t>/2021, e presencial, nos termos da Deliberação Plenária CAU/SC nº 6</w:t>
      </w:r>
      <w:r>
        <w:rPr>
          <w:rFonts w:ascii="Arial" w:hAnsi="Arial" w:cs="Arial"/>
          <w:sz w:val="22"/>
          <w:szCs w:val="22"/>
        </w:rPr>
        <w:t>42</w:t>
      </w:r>
      <w:r w:rsidRPr="009B3BF2">
        <w:rPr>
          <w:rFonts w:ascii="Arial" w:hAnsi="Arial" w:cs="Arial"/>
          <w:sz w:val="22"/>
          <w:szCs w:val="22"/>
        </w:rPr>
        <w:t>/2021</w:t>
      </w:r>
      <w:r>
        <w:rPr>
          <w:rFonts w:ascii="Arial" w:hAnsi="Arial" w:cs="Arial"/>
          <w:sz w:val="22"/>
          <w:szCs w:val="22"/>
        </w:rPr>
        <w:t>,</w:t>
      </w:r>
      <w:r w:rsidRPr="006C27D8">
        <w:rPr>
          <w:rFonts w:ascii="Arial" w:hAnsi="Arial" w:cs="Arial"/>
          <w:sz w:val="22"/>
          <w:szCs w:val="22"/>
        </w:rPr>
        <w:t xml:space="preserve"> no uso das competências que lhe conferem os artigos 91 e 96 do Regimento Interno do CAU/SC, após análise do assunto em epígrafe, e</w:t>
      </w:r>
    </w:p>
    <w:p w:rsidR="00867942" w:rsidRDefault="00867942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Pr="00C07CCC" w:rsidRDefault="00CA736F" w:rsidP="0077530C">
      <w:pPr>
        <w:jc w:val="both"/>
        <w:rPr>
          <w:rFonts w:ascii="Arial" w:hAnsi="Arial" w:cs="Arial"/>
          <w:sz w:val="22"/>
          <w:szCs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</w:t>
      </w:r>
      <w:r w:rsidR="0039383E">
        <w:rPr>
          <w:rFonts w:ascii="Arial" w:hAnsi="Arial" w:cs="Arial"/>
          <w:sz w:val="22"/>
        </w:rPr>
        <w:t xml:space="preserve"> ativa e </w:t>
      </w:r>
      <w:r w:rsidR="0039383E" w:rsidRPr="00C07CCC">
        <w:rPr>
          <w:rFonts w:ascii="Arial" w:hAnsi="Arial" w:cs="Arial"/>
          <w:sz w:val="22"/>
          <w:szCs w:val="22"/>
        </w:rPr>
        <w:t>dá outras providências;</w:t>
      </w:r>
    </w:p>
    <w:p w:rsidR="00FA1C5A" w:rsidRPr="00C07CCC" w:rsidRDefault="00FA1C5A" w:rsidP="00D30007">
      <w:pPr>
        <w:jc w:val="both"/>
        <w:rPr>
          <w:rFonts w:ascii="Arial" w:hAnsi="Arial" w:cs="Arial"/>
          <w:sz w:val="22"/>
          <w:szCs w:val="22"/>
        </w:rPr>
      </w:pPr>
    </w:p>
    <w:p w:rsidR="002F5F33" w:rsidRPr="00C07CCC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C07CCC">
        <w:rPr>
          <w:rFonts w:ascii="Arial" w:hAnsi="Arial" w:cs="Arial"/>
          <w:sz w:val="22"/>
          <w:szCs w:val="22"/>
        </w:rPr>
        <w:t xml:space="preserve">Considerando </w:t>
      </w:r>
      <w:r w:rsidR="00AA5E68" w:rsidRPr="00C07CCC">
        <w:rPr>
          <w:rFonts w:ascii="Arial" w:hAnsi="Arial" w:cs="Arial"/>
          <w:sz w:val="22"/>
          <w:szCs w:val="22"/>
        </w:rPr>
        <w:t xml:space="preserve">que já houve </w:t>
      </w:r>
      <w:r w:rsidR="00537498" w:rsidRPr="00C07CCC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C07CCC">
        <w:rPr>
          <w:rFonts w:ascii="Arial" w:hAnsi="Arial" w:cs="Arial"/>
          <w:sz w:val="22"/>
          <w:szCs w:val="22"/>
        </w:rPr>
        <w:t xml:space="preserve"> </w:t>
      </w:r>
      <w:r w:rsidR="0039383E" w:rsidRPr="00C07CCC">
        <w:rPr>
          <w:rFonts w:ascii="Arial" w:hAnsi="Arial" w:cs="Arial"/>
          <w:sz w:val="22"/>
          <w:szCs w:val="22"/>
        </w:rPr>
        <w:t>e foi negado;</w:t>
      </w:r>
    </w:p>
    <w:p w:rsidR="00E01EE7" w:rsidRPr="00C07CCC" w:rsidRDefault="00E01EE7" w:rsidP="00E01EE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B3B06" w:rsidRPr="00C07CCC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C07CCC">
        <w:rPr>
          <w:rFonts w:ascii="Arial" w:hAnsi="Arial" w:cs="Arial"/>
          <w:sz w:val="22"/>
          <w:szCs w:val="22"/>
        </w:rPr>
        <w:t xml:space="preserve">Considerando que segundo o art. 5º da Lei nº 12.514/2011 que dispõe que “O fato gerador das anuidades é a existência de inscrição no conselho, ainda que por tempo limitado, ao longo do exercício” e nesse sentido, uma vez ativo o registro perante o CAU, o fato de </w:t>
      </w:r>
      <w:r w:rsidR="009B590D" w:rsidRPr="00C07CCC">
        <w:rPr>
          <w:rFonts w:ascii="Arial" w:hAnsi="Arial" w:cs="Arial"/>
          <w:sz w:val="22"/>
          <w:szCs w:val="22"/>
        </w:rPr>
        <w:t>a</w:t>
      </w:r>
      <w:r w:rsidRPr="00C07CCC">
        <w:rPr>
          <w:rFonts w:ascii="Arial" w:hAnsi="Arial" w:cs="Arial"/>
          <w:sz w:val="22"/>
          <w:szCs w:val="22"/>
        </w:rPr>
        <w:t xml:space="preserve"> profissional não exercer a atividade de arquitet</w:t>
      </w:r>
      <w:r w:rsidR="009B590D" w:rsidRPr="00C07CCC">
        <w:rPr>
          <w:rFonts w:ascii="Arial" w:hAnsi="Arial" w:cs="Arial"/>
          <w:sz w:val="22"/>
          <w:szCs w:val="22"/>
        </w:rPr>
        <w:t>a</w:t>
      </w:r>
      <w:r w:rsidRPr="00C07CCC">
        <w:rPr>
          <w:rFonts w:ascii="Arial" w:hAnsi="Arial" w:cs="Arial"/>
          <w:sz w:val="22"/>
          <w:szCs w:val="22"/>
        </w:rPr>
        <w:t xml:space="preserve"> e urbanista não lhe exime do pagamento das anuidades enquanto não solicitada sua interrupção ou cancelamento, providência que inc</w:t>
      </w:r>
      <w:r w:rsidR="0039383E" w:rsidRPr="00C07CCC">
        <w:rPr>
          <w:rFonts w:ascii="Arial" w:hAnsi="Arial" w:cs="Arial"/>
          <w:sz w:val="22"/>
          <w:szCs w:val="22"/>
        </w:rPr>
        <w:t>umbe apenas à parte interessada;</w:t>
      </w:r>
    </w:p>
    <w:p w:rsidR="003B3B06" w:rsidRPr="00C07CCC" w:rsidRDefault="003B3B06" w:rsidP="003B3B0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B3B06" w:rsidRPr="00C07CCC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C07CCC">
        <w:rPr>
          <w:rFonts w:ascii="Arial" w:hAnsi="Arial" w:cs="Arial"/>
          <w:sz w:val="22"/>
          <w:szCs w:val="22"/>
        </w:rPr>
        <w:t xml:space="preserve">Considerando o assunto, guardadas as devidas peculiaridades, já se manifestou o Tribunal Regional Federal da 4ª Região: “Com efeito, existindo regular inscrição junto ao Conselho, o afastamento do exercício da atividade não possui o condão, por si só, de legitimar o não-recolhimento das anuidades, sendo imprescindível o pedido </w:t>
      </w:r>
      <w:r w:rsidR="0039383E" w:rsidRPr="00C07CCC">
        <w:rPr>
          <w:rFonts w:ascii="Arial" w:hAnsi="Arial" w:cs="Arial"/>
          <w:sz w:val="22"/>
          <w:szCs w:val="22"/>
        </w:rPr>
        <w:t>de cancelamento à instituição”;</w:t>
      </w:r>
    </w:p>
    <w:p w:rsidR="003B3B06" w:rsidRPr="00C07CCC" w:rsidRDefault="003B3B06" w:rsidP="003B3B06">
      <w:pPr>
        <w:jc w:val="both"/>
        <w:rPr>
          <w:rFonts w:ascii="Arial" w:hAnsi="Arial" w:cs="Arial"/>
          <w:sz w:val="22"/>
          <w:szCs w:val="22"/>
        </w:rPr>
      </w:pPr>
    </w:p>
    <w:p w:rsidR="003B3B06" w:rsidRPr="00C07CCC" w:rsidRDefault="00C25835" w:rsidP="003B3B06">
      <w:pPr>
        <w:jc w:val="both"/>
        <w:rPr>
          <w:rFonts w:ascii="Arial" w:hAnsi="Arial" w:cs="Arial"/>
          <w:sz w:val="22"/>
          <w:szCs w:val="22"/>
        </w:rPr>
      </w:pPr>
      <w:r w:rsidRPr="00C07CCC">
        <w:rPr>
          <w:rFonts w:ascii="Arial" w:hAnsi="Arial" w:cs="Arial"/>
          <w:sz w:val="22"/>
          <w:szCs w:val="22"/>
        </w:rPr>
        <w:t>Considerando que, após consulta no histórico do SICCAU, constatou-se que nenhum protocolo de interrupção de registro foi gerado durante o período de inatividade indicado pela profissional e que, apenas em 19/05/2022, por meio do protocolo, nº 1537306/2022, é que foi registrada a solicitação de interrupção de registro</w:t>
      </w:r>
      <w:r w:rsidR="00FB63C1" w:rsidRPr="00C07CCC">
        <w:rPr>
          <w:rFonts w:ascii="Arial" w:hAnsi="Arial" w:cs="Arial"/>
          <w:sz w:val="22"/>
          <w:szCs w:val="22"/>
        </w:rPr>
        <w:t xml:space="preserve"> com os devidos documentos necessários para efetivação do procedimento</w:t>
      </w:r>
      <w:r w:rsidRPr="00C07CCC">
        <w:rPr>
          <w:rFonts w:ascii="Arial" w:hAnsi="Arial" w:cs="Arial"/>
          <w:sz w:val="22"/>
          <w:szCs w:val="22"/>
        </w:rPr>
        <w:t>,</w:t>
      </w:r>
      <w:r w:rsidR="00FB63C1" w:rsidRPr="00C07CCC">
        <w:rPr>
          <w:rFonts w:ascii="Arial" w:hAnsi="Arial" w:cs="Arial"/>
          <w:sz w:val="22"/>
          <w:szCs w:val="22"/>
        </w:rPr>
        <w:t xml:space="preserve"> e</w:t>
      </w:r>
      <w:r w:rsidRPr="00C07CCC">
        <w:rPr>
          <w:rFonts w:ascii="Arial" w:hAnsi="Arial" w:cs="Arial"/>
          <w:sz w:val="22"/>
          <w:szCs w:val="22"/>
        </w:rPr>
        <w:t xml:space="preserve"> que, inclusive, já foi encaminhada para análise da Comissão Ordinária de Exercício Profissional (CEP-SC);</w:t>
      </w:r>
    </w:p>
    <w:p w:rsidR="00C25835" w:rsidRPr="00C07CCC" w:rsidRDefault="00C25835" w:rsidP="003B3B06">
      <w:pPr>
        <w:jc w:val="both"/>
        <w:rPr>
          <w:rFonts w:ascii="Arial" w:hAnsi="Arial" w:cs="Arial"/>
          <w:sz w:val="22"/>
          <w:szCs w:val="22"/>
        </w:rPr>
      </w:pPr>
    </w:p>
    <w:p w:rsidR="00C25835" w:rsidRPr="00C07CCC" w:rsidRDefault="00C25835" w:rsidP="003B3B06">
      <w:pPr>
        <w:jc w:val="both"/>
        <w:rPr>
          <w:rFonts w:ascii="Arial" w:hAnsi="Arial" w:cs="Arial"/>
          <w:sz w:val="22"/>
          <w:szCs w:val="22"/>
        </w:rPr>
      </w:pPr>
      <w:r w:rsidRPr="00C07CCC">
        <w:rPr>
          <w:rFonts w:ascii="Arial" w:hAnsi="Arial" w:cs="Arial"/>
          <w:sz w:val="22"/>
          <w:szCs w:val="22"/>
        </w:rPr>
        <w:t xml:space="preserve">Considerando que não há previsão de desconto de encargos de débitos vencidos na </w:t>
      </w:r>
      <w:r w:rsidR="003B3B06" w:rsidRPr="00C07CCC">
        <w:rPr>
          <w:rFonts w:ascii="Arial" w:hAnsi="Arial" w:cs="Arial"/>
          <w:sz w:val="22"/>
          <w:szCs w:val="22"/>
        </w:rPr>
        <w:t>Resolução 193 do CAU/BR</w:t>
      </w:r>
      <w:r w:rsidRPr="00C07CCC">
        <w:rPr>
          <w:rFonts w:ascii="Arial" w:hAnsi="Arial" w:cs="Arial"/>
          <w:sz w:val="22"/>
          <w:szCs w:val="22"/>
        </w:rPr>
        <w:t xml:space="preserve"> e que tal solicitação não se enquadra nos casos de isenção e requerimento de revisão de cobrança</w:t>
      </w:r>
      <w:r w:rsidR="00FB63C1" w:rsidRPr="00C07CCC">
        <w:rPr>
          <w:rFonts w:ascii="Arial" w:hAnsi="Arial" w:cs="Arial"/>
          <w:sz w:val="22"/>
          <w:szCs w:val="22"/>
        </w:rPr>
        <w:t xml:space="preserve"> e que esta comissão preza pelo respeito ao princípio da administração pública concernente à legalidade, previsto no art. 37 da Constituição Federal e que, portanto, não irá entrar em dissonância com a legislação vigente;</w:t>
      </w:r>
    </w:p>
    <w:p w:rsidR="00C07CCC" w:rsidRPr="00C07CCC" w:rsidRDefault="00C07CCC" w:rsidP="003B3B06">
      <w:pPr>
        <w:jc w:val="both"/>
        <w:rPr>
          <w:rFonts w:ascii="Arial" w:hAnsi="Arial" w:cs="Arial"/>
          <w:sz w:val="22"/>
          <w:szCs w:val="22"/>
        </w:rPr>
      </w:pPr>
    </w:p>
    <w:p w:rsidR="00012467" w:rsidRPr="00C07CCC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C07CCC">
        <w:rPr>
          <w:rFonts w:ascii="Arial" w:hAnsi="Arial" w:cs="Arial"/>
          <w:sz w:val="22"/>
          <w:szCs w:val="22"/>
        </w:rPr>
        <w:lastRenderedPageBreak/>
        <w:t>Considerando a interposição do recurso à COAF por parte da interessada;</w:t>
      </w:r>
      <w:r w:rsidR="00C07CCC" w:rsidRPr="00C07CCC">
        <w:rPr>
          <w:rFonts w:ascii="Arial" w:hAnsi="Arial" w:cs="Arial"/>
          <w:sz w:val="22"/>
          <w:szCs w:val="22"/>
        </w:rPr>
        <w:t xml:space="preserve"> e</w:t>
      </w:r>
    </w:p>
    <w:p w:rsidR="00012467" w:rsidRPr="00C07CCC" w:rsidRDefault="00012467" w:rsidP="00012467">
      <w:pPr>
        <w:jc w:val="both"/>
        <w:rPr>
          <w:rFonts w:ascii="Arial" w:hAnsi="Arial" w:cs="Arial"/>
          <w:sz w:val="22"/>
          <w:szCs w:val="22"/>
        </w:rPr>
      </w:pPr>
    </w:p>
    <w:p w:rsidR="00012467" w:rsidRPr="00C07CCC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C07CCC">
        <w:rPr>
          <w:rFonts w:ascii="Arial" w:hAnsi="Arial" w:cs="Arial"/>
          <w:sz w:val="22"/>
          <w:szCs w:val="22"/>
        </w:rPr>
        <w:t>Considerando a análise e discussão do recurso por parte da COAF- CAU/SC.</w:t>
      </w:r>
    </w:p>
    <w:p w:rsidR="00C07CCC" w:rsidRPr="00C07CCC" w:rsidRDefault="00C07CCC" w:rsidP="00012467">
      <w:pPr>
        <w:jc w:val="both"/>
        <w:rPr>
          <w:rFonts w:ascii="Arial" w:hAnsi="Arial" w:cs="Arial"/>
          <w:sz w:val="22"/>
          <w:szCs w:val="22"/>
        </w:rPr>
      </w:pPr>
    </w:p>
    <w:p w:rsidR="00CA736F" w:rsidRPr="00C07CCC" w:rsidRDefault="00CA736F">
      <w:pPr>
        <w:rPr>
          <w:rFonts w:ascii="Arial" w:hAnsi="Arial" w:cs="Arial"/>
          <w:sz w:val="22"/>
          <w:szCs w:val="22"/>
        </w:rPr>
      </w:pPr>
    </w:p>
    <w:p w:rsidR="00E01EE7" w:rsidRPr="00C07C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C07CCC">
        <w:rPr>
          <w:rFonts w:ascii="Arial" w:hAnsi="Arial" w:cs="Arial"/>
          <w:b/>
          <w:sz w:val="22"/>
          <w:szCs w:val="22"/>
        </w:rPr>
        <w:t xml:space="preserve">DELIBERA: </w:t>
      </w:r>
    </w:p>
    <w:p w:rsidR="00C07CCC" w:rsidRPr="00C07CCC" w:rsidRDefault="00C07CCC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C07C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Pr="00C07CCC" w:rsidRDefault="00012467" w:rsidP="00012467">
      <w:pPr>
        <w:pStyle w:val="PargrafodaLi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C07CCC">
        <w:rPr>
          <w:rFonts w:ascii="Arial" w:hAnsi="Arial" w:cs="Arial"/>
          <w:sz w:val="22"/>
          <w:szCs w:val="22"/>
        </w:rPr>
        <w:t xml:space="preserve">Por </w:t>
      </w:r>
      <w:r w:rsidR="009B590D" w:rsidRPr="00C07CCC">
        <w:rPr>
          <w:rFonts w:ascii="Arial" w:hAnsi="Arial" w:cs="Arial"/>
          <w:sz w:val="22"/>
          <w:szCs w:val="22"/>
        </w:rPr>
        <w:t>não prover</w:t>
      </w:r>
      <w:r w:rsidRPr="00C07CCC">
        <w:rPr>
          <w:rFonts w:ascii="Arial" w:hAnsi="Arial" w:cs="Arial"/>
          <w:sz w:val="22"/>
          <w:szCs w:val="22"/>
        </w:rPr>
        <w:t xml:space="preserve"> o recurso de revisão de cobrança;</w:t>
      </w:r>
    </w:p>
    <w:p w:rsidR="0077530C" w:rsidRPr="00C07CCC" w:rsidRDefault="0077530C" w:rsidP="0077530C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3F52A0" w:rsidRPr="00C07CCC" w:rsidRDefault="003F52A0" w:rsidP="00AC7A5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07CC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C07C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A40A7" w:rsidRPr="00C07CCC" w:rsidRDefault="000A40A7" w:rsidP="00E01EE7">
      <w:pPr>
        <w:jc w:val="center"/>
        <w:rPr>
          <w:rFonts w:ascii="Arial" w:hAnsi="Arial" w:cs="Arial"/>
          <w:sz w:val="22"/>
          <w:szCs w:val="22"/>
        </w:rPr>
      </w:pPr>
    </w:p>
    <w:p w:rsidR="00A4567B" w:rsidRPr="00C07CCC" w:rsidRDefault="00A4567B" w:rsidP="00410558">
      <w:pPr>
        <w:rPr>
          <w:rFonts w:ascii="Arial" w:hAnsi="Arial" w:cs="Arial"/>
          <w:sz w:val="22"/>
          <w:szCs w:val="22"/>
        </w:rPr>
      </w:pPr>
    </w:p>
    <w:p w:rsidR="00E01EE7" w:rsidRPr="00C07CCC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C07CCC">
        <w:rPr>
          <w:rFonts w:ascii="Arial" w:hAnsi="Arial" w:cs="Arial"/>
          <w:sz w:val="22"/>
          <w:szCs w:val="22"/>
        </w:rPr>
        <w:t xml:space="preserve">Florianópolis, </w:t>
      </w:r>
      <w:r w:rsidR="00A4567B" w:rsidRPr="00C07CCC">
        <w:rPr>
          <w:rFonts w:ascii="Arial" w:hAnsi="Arial" w:cs="Arial"/>
          <w:sz w:val="22"/>
          <w:szCs w:val="22"/>
        </w:rPr>
        <w:t>2</w:t>
      </w:r>
      <w:r w:rsidR="00646458" w:rsidRPr="00C07CCC">
        <w:rPr>
          <w:rFonts w:ascii="Arial" w:hAnsi="Arial" w:cs="Arial"/>
          <w:sz w:val="22"/>
          <w:szCs w:val="22"/>
        </w:rPr>
        <w:t>3</w:t>
      </w:r>
      <w:r w:rsidR="00616EC8" w:rsidRPr="00C07CCC">
        <w:rPr>
          <w:rFonts w:ascii="Arial" w:hAnsi="Arial" w:cs="Arial"/>
          <w:sz w:val="22"/>
          <w:szCs w:val="22"/>
        </w:rPr>
        <w:t xml:space="preserve"> de </w:t>
      </w:r>
      <w:r w:rsidR="00B67BA9" w:rsidRPr="00C07CCC">
        <w:rPr>
          <w:rFonts w:ascii="Arial" w:hAnsi="Arial" w:cs="Arial"/>
          <w:sz w:val="22"/>
          <w:szCs w:val="22"/>
        </w:rPr>
        <w:t>ma</w:t>
      </w:r>
      <w:r w:rsidR="009D0DFD" w:rsidRPr="00C07CCC">
        <w:rPr>
          <w:rFonts w:ascii="Arial" w:hAnsi="Arial" w:cs="Arial"/>
          <w:sz w:val="22"/>
          <w:szCs w:val="22"/>
        </w:rPr>
        <w:t>io</w:t>
      </w:r>
      <w:r w:rsidR="00616EC8" w:rsidRPr="00C07CCC">
        <w:rPr>
          <w:rFonts w:ascii="Arial" w:hAnsi="Arial" w:cs="Arial"/>
          <w:sz w:val="22"/>
          <w:szCs w:val="22"/>
        </w:rPr>
        <w:t xml:space="preserve"> de 2022.</w:t>
      </w:r>
    </w:p>
    <w:p w:rsidR="00E01EE7" w:rsidRPr="00C07C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C07CCC" w:rsidRPr="00C07CCC" w:rsidRDefault="00C07CCC" w:rsidP="00C07CCC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105062876"/>
      <w:r w:rsidRPr="00C07CCC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:rsidR="00C07CCC" w:rsidRDefault="00C07CCC" w:rsidP="00C07CCC">
      <w:pPr>
        <w:jc w:val="center"/>
        <w:rPr>
          <w:rFonts w:ascii="Arial" w:hAnsi="Arial" w:cs="Arial"/>
          <w:b/>
          <w:sz w:val="22"/>
          <w:szCs w:val="22"/>
        </w:rPr>
      </w:pPr>
    </w:p>
    <w:p w:rsidR="00C07CCC" w:rsidRPr="00C07CCC" w:rsidRDefault="00C07CCC" w:rsidP="00C07CCC">
      <w:pPr>
        <w:jc w:val="center"/>
        <w:rPr>
          <w:rFonts w:ascii="Arial" w:hAnsi="Arial" w:cs="Arial"/>
          <w:b/>
          <w:sz w:val="22"/>
          <w:szCs w:val="22"/>
        </w:rPr>
      </w:pPr>
    </w:p>
    <w:p w:rsidR="00C07CCC" w:rsidRPr="00C07CCC" w:rsidRDefault="00C07CCC" w:rsidP="00C07CCC">
      <w:pPr>
        <w:jc w:val="center"/>
        <w:rPr>
          <w:rFonts w:ascii="Arial" w:hAnsi="Arial" w:cs="Arial"/>
          <w:b/>
          <w:sz w:val="22"/>
          <w:szCs w:val="22"/>
        </w:rPr>
      </w:pPr>
    </w:p>
    <w:p w:rsidR="00C07CCC" w:rsidRPr="00C07CCC" w:rsidRDefault="00C07CCC" w:rsidP="00C07CCC">
      <w:pPr>
        <w:jc w:val="center"/>
        <w:rPr>
          <w:rFonts w:ascii="Arial" w:hAnsi="Arial" w:cs="Arial"/>
          <w:b/>
          <w:sz w:val="22"/>
          <w:szCs w:val="22"/>
        </w:rPr>
      </w:pPr>
    </w:p>
    <w:p w:rsidR="00C07CCC" w:rsidRPr="00C07CCC" w:rsidRDefault="00C07CCC" w:rsidP="00C07CCC">
      <w:pPr>
        <w:jc w:val="center"/>
        <w:rPr>
          <w:rFonts w:ascii="Arial" w:hAnsi="Arial" w:cs="Arial"/>
          <w:b/>
          <w:sz w:val="22"/>
          <w:szCs w:val="22"/>
        </w:rPr>
      </w:pPr>
      <w:r w:rsidRPr="00C07CCC">
        <w:rPr>
          <w:rFonts w:ascii="Arial" w:hAnsi="Arial" w:cs="Arial"/>
          <w:b/>
          <w:sz w:val="22"/>
          <w:szCs w:val="22"/>
        </w:rPr>
        <w:t>Jaime Teixeira Chaves</w:t>
      </w:r>
    </w:p>
    <w:p w:rsidR="00C07CCC" w:rsidRPr="00C07CCC" w:rsidRDefault="00C07CCC" w:rsidP="00C07CCC">
      <w:pPr>
        <w:jc w:val="center"/>
        <w:rPr>
          <w:rFonts w:ascii="Arial" w:hAnsi="Arial" w:cs="Arial"/>
          <w:sz w:val="22"/>
          <w:szCs w:val="22"/>
        </w:rPr>
      </w:pPr>
      <w:r w:rsidRPr="00C07CC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C07CCC" w:rsidRPr="00C07CCC" w:rsidRDefault="00C07CCC" w:rsidP="00C07CCC">
      <w:pPr>
        <w:jc w:val="center"/>
        <w:rPr>
          <w:rFonts w:ascii="Arial" w:hAnsi="Arial" w:cs="Arial"/>
          <w:sz w:val="22"/>
          <w:szCs w:val="22"/>
        </w:rPr>
      </w:pPr>
      <w:r w:rsidRPr="00C07CCC">
        <w:rPr>
          <w:rFonts w:ascii="Arial" w:hAnsi="Arial" w:cs="Arial"/>
          <w:sz w:val="22"/>
          <w:szCs w:val="22"/>
        </w:rPr>
        <w:t>do CAU/SC</w:t>
      </w:r>
    </w:p>
    <w:bookmarkEnd w:id="0"/>
    <w:p w:rsidR="00FF2B65" w:rsidRDefault="00FF2B65" w:rsidP="00A4567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Folha de</w:t>
      </w:r>
      <w:bookmarkStart w:id="1" w:name="_GoBack"/>
      <w:bookmarkEnd w:id="1"/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AE30B0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C07CCC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355A05" w:rsidRPr="00355A05" w:rsidRDefault="00DF609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09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E30B0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6332BD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2BD"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A4567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E30B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077A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AE7">
              <w:rPr>
                <w:rFonts w:ascii="Arial" w:hAnsi="Arial" w:cs="Arial"/>
                <w:sz w:val="22"/>
                <w:szCs w:val="22"/>
              </w:rPr>
              <w:t>5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077AE7">
              <w:rPr>
                <w:rFonts w:ascii="Arial" w:hAnsi="Arial" w:cs="Arial"/>
                <w:sz w:val="22"/>
                <w:szCs w:val="22"/>
              </w:rPr>
              <w:t>3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077AE7">
              <w:rPr>
                <w:rFonts w:ascii="Arial" w:hAnsi="Arial" w:cs="Arial"/>
                <w:sz w:val="22"/>
                <w:szCs w:val="22"/>
              </w:rPr>
              <w:t>5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>Julgamento de Recurso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0B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CCC">
              <w:rPr>
                <w:rFonts w:ascii="Arial" w:hAnsi="Arial" w:cs="Arial"/>
                <w:sz w:val="22"/>
                <w:szCs w:val="22"/>
              </w:rPr>
              <w:t>0</w:t>
            </w:r>
            <w:r w:rsidR="00305B6D"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CCC">
              <w:rPr>
                <w:rFonts w:ascii="Arial" w:hAnsi="Arial" w:cs="Arial"/>
                <w:sz w:val="22"/>
                <w:szCs w:val="22"/>
              </w:rPr>
              <w:t>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CCC">
              <w:rPr>
                <w:rFonts w:ascii="Arial" w:hAnsi="Arial" w:cs="Arial"/>
                <w:sz w:val="22"/>
                <w:szCs w:val="22"/>
              </w:rPr>
              <w:t>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C07CCC" w:rsidRPr="006D188D" w:rsidRDefault="00C07CCC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9383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3633D4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1CD1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83E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90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100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07CCC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83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96D0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63C1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19BC-02BC-4443-9CB9-5AC9212C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</cp:revision>
  <cp:lastPrinted>2021-03-01T18:36:00Z</cp:lastPrinted>
  <dcterms:created xsi:type="dcterms:W3CDTF">2022-05-23T17:45:00Z</dcterms:created>
  <dcterms:modified xsi:type="dcterms:W3CDTF">2022-06-02T15:13:00Z</dcterms:modified>
</cp:coreProperties>
</file>