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730CC6" w:rsidP="00EA28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Cambria" w:hAnsi="Arial" w:cs="Arial"/>
              </w:rPr>
              <w:t>Suspensão</w:t>
            </w:r>
            <w:r w:rsidRPr="00730CC6">
              <w:rPr>
                <w:rFonts w:ascii="Arial" w:eastAsia="Cambria" w:hAnsi="Arial" w:cs="Arial"/>
              </w:rPr>
              <w:t>, desde 20 de março de 2020 até o término de estado de calamidade pública estabelecido pelo União, o prazo de validade do concurso público nº 01/2016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30CC6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56</w:t>
            </w:r>
            <w:r w:rsidR="00730CC6">
              <w:rPr>
                <w:rFonts w:ascii="Arial" w:eastAsia="Cambria" w:hAnsi="Arial" w:cs="Arial"/>
                <w:color w:val="000000"/>
              </w:rPr>
              <w:t>6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730CC6" w:rsidRDefault="002C6E93" w:rsidP="00730CC6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Aprova a </w:t>
      </w:r>
      <w:r w:rsidR="00730CC6">
        <w:rPr>
          <w:rFonts w:ascii="Arial" w:eastAsia="Cambria" w:hAnsi="Arial" w:cs="Arial"/>
        </w:rPr>
        <w:t>suspensão</w:t>
      </w:r>
      <w:r w:rsidR="00730CC6" w:rsidRPr="00730CC6">
        <w:rPr>
          <w:rFonts w:ascii="Arial" w:eastAsia="Cambria" w:hAnsi="Arial" w:cs="Arial"/>
        </w:rPr>
        <w:t>, desde 20 de março de 2020 até o término de estado de calamidade pública estabelecido pelo União, o prazo de validade do concurso público nº 01/2016</w:t>
      </w:r>
    </w:p>
    <w:p w:rsidR="00EA2868" w:rsidRPr="001B6281" w:rsidRDefault="00EA2868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730CC6" w:rsidRPr="00730CC6" w:rsidRDefault="00730CC6" w:rsidP="00730CC6">
      <w:pPr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Considerando o princípio constitucional do concurso público (art. 37, II, CF);</w:t>
      </w:r>
    </w:p>
    <w:p w:rsidR="00730CC6" w:rsidRPr="00730CC6" w:rsidRDefault="00730CC6" w:rsidP="00730CC6">
      <w:pPr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Considerando que a validade do concurso público nº 01/2016 para provimento de vagas de emprego no âmbito do CAU/SC, de 02 anos (cláusulas 1.2.2 e 8.2 do Edital), foi prorrogada por outros 02 anos, nos termos da Deliberação Plenária nº 321 do CAU/SC, de 15/03/2019;</w:t>
      </w:r>
    </w:p>
    <w:p w:rsidR="00730CC6" w:rsidRPr="00730CC6" w:rsidRDefault="00730CC6" w:rsidP="00730CC6">
      <w:pPr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Considerando a redação do artigo 10 da Lei Complementar 173, de 27/05/2020, que prevê “Ficam suspensos os prazos de validade dos concursos públicos já homologados na data da publicação do Decreto Legislativo nº 6, de 20 de março de 2020, em todo o território nacional, até o término da vigência do estado de calamidade pública estabelecido pela União”;</w:t>
      </w:r>
    </w:p>
    <w:p w:rsidR="00730CC6" w:rsidRPr="00730CC6" w:rsidRDefault="00730CC6" w:rsidP="00730CC6">
      <w:pPr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Considerando o Decreto Legislativo nº 06, de 20/03/2020, que reconhece, para os fins do artigo 65 da Lei Complementar nº 101/2000 (Lei de Responsabilidade Fiscal), a ocorrência do estado de calamidade pública, com efeitos até 31 de dezembro de 2020;</w:t>
      </w:r>
    </w:p>
    <w:p w:rsidR="00730CC6" w:rsidRPr="00730CC6" w:rsidRDefault="00730CC6" w:rsidP="00730CC6">
      <w:pPr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Considerando o artigo 65 da Lei Complementar nº 101/2000, que prevê decorrências do reconhecimento de calamidade pública pelo Congresso Nacional, no caso da União, dentre elas a suspensão da contagem dos prazos (inciso I);</w:t>
      </w:r>
    </w:p>
    <w:p w:rsidR="00730CC6" w:rsidRDefault="00730CC6" w:rsidP="00730CC6">
      <w:pPr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DA2FC1" w:rsidRDefault="00DA2FC1" w:rsidP="0073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a Deliberação nº </w:t>
      </w:r>
      <w:r w:rsidR="00730CC6">
        <w:rPr>
          <w:rFonts w:ascii="Arial" w:hAnsi="Arial" w:cs="Arial"/>
        </w:rPr>
        <w:t>105</w:t>
      </w:r>
      <w:r w:rsidR="00DC6321">
        <w:rPr>
          <w:rFonts w:ascii="Arial" w:hAnsi="Arial" w:cs="Arial"/>
        </w:rPr>
        <w:t>/2020 do Conselho Diretor, de 30 de novembro de 2020;</w:t>
      </w:r>
    </w:p>
    <w:p w:rsidR="00EA27D9" w:rsidRPr="00FE32E0" w:rsidRDefault="00EA27D9" w:rsidP="00DA2FC1">
      <w:pPr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FE32E0">
        <w:rPr>
          <w:rFonts w:ascii="Arial" w:eastAsia="Cambria" w:hAnsi="Arial" w:cs="Arial"/>
          <w:b/>
          <w:bCs/>
          <w:sz w:val="20"/>
          <w:szCs w:val="20"/>
        </w:rPr>
        <w:lastRenderedPageBreak/>
        <w:t xml:space="preserve">DELIBEROU POR: </w:t>
      </w:r>
    </w:p>
    <w:p w:rsidR="00A31B39" w:rsidRPr="00A31B39" w:rsidRDefault="00A31B39" w:rsidP="00A31B39">
      <w:pPr>
        <w:spacing w:after="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1. S</w:t>
      </w:r>
      <w:r>
        <w:rPr>
          <w:rFonts w:ascii="Arial" w:hAnsi="Arial" w:cs="Arial"/>
        </w:rPr>
        <w:t>uspender</w:t>
      </w:r>
      <w:r w:rsidRPr="00A31B39">
        <w:rPr>
          <w:rFonts w:ascii="Arial" w:hAnsi="Arial" w:cs="Arial"/>
        </w:rPr>
        <w:t xml:space="preserve"> o prazo de validade do concurso nº 001/2016 do CAU/SC, retroativamente desde 20 de março de 2020, até o término de estado de calamidade pública estabelecido pela União. </w:t>
      </w:r>
    </w:p>
    <w:p w:rsidR="00A31B39" w:rsidRPr="00A31B39" w:rsidRDefault="00A31B39" w:rsidP="00A31B39">
      <w:pPr>
        <w:spacing w:after="0"/>
        <w:jc w:val="both"/>
        <w:rPr>
          <w:rFonts w:ascii="Arial" w:hAnsi="Arial" w:cs="Arial"/>
        </w:rPr>
      </w:pPr>
    </w:p>
    <w:p w:rsidR="00A31B39" w:rsidRPr="00A31B39" w:rsidRDefault="00A31B39" w:rsidP="00A31B39">
      <w:pPr>
        <w:spacing w:after="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 Após esse período, retomar-se-á a contagem do prazo de vigência do referido concurso público, nos termos das normas pertinentes.</w:t>
      </w:r>
    </w:p>
    <w:p w:rsidR="00A31B39" w:rsidRPr="00A31B39" w:rsidRDefault="00A31B39" w:rsidP="00A31B39">
      <w:pPr>
        <w:spacing w:after="0"/>
        <w:jc w:val="both"/>
        <w:rPr>
          <w:rFonts w:ascii="Arial" w:hAnsi="Arial" w:cs="Arial"/>
        </w:rPr>
      </w:pPr>
    </w:p>
    <w:p w:rsidR="00A31B39" w:rsidRDefault="00A31B39" w:rsidP="00EA27D9">
      <w:pPr>
        <w:spacing w:after="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3. A suspensão do prazo de validade do concurso 001/2016 do CAU/SC deverá ser amplamente divulgada no site do CAU/SC e no D</w:t>
      </w:r>
      <w:r w:rsidR="00D006BF">
        <w:rPr>
          <w:rFonts w:ascii="Arial" w:hAnsi="Arial" w:cs="Arial"/>
        </w:rPr>
        <w:t xml:space="preserve">iário Oficial da União. </w:t>
      </w:r>
    </w:p>
    <w:p w:rsidR="00D006BF" w:rsidRDefault="00D006BF" w:rsidP="00EA27D9">
      <w:pPr>
        <w:spacing w:after="0"/>
        <w:jc w:val="both"/>
        <w:rPr>
          <w:rFonts w:ascii="Arial" w:hAnsi="Arial" w:cs="Arial"/>
        </w:rPr>
      </w:pPr>
    </w:p>
    <w:p w:rsidR="00EA27D9" w:rsidRDefault="00A31B39" w:rsidP="00EA27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A27D9">
        <w:rPr>
          <w:rFonts w:ascii="Arial" w:hAnsi="Arial" w:cs="Arial"/>
        </w:rPr>
        <w:t xml:space="preserve">. Esta </w:t>
      </w:r>
      <w:r w:rsidR="00EA27D9" w:rsidRPr="0050522E">
        <w:rPr>
          <w:rFonts w:ascii="Arial" w:hAnsi="Arial" w:cs="Arial"/>
        </w:rPr>
        <w:t>Deliberação Plenária entra em vigor na data da sua publicação.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C8665B" w:rsidRDefault="00C8665B" w:rsidP="00BD2691">
      <w:pPr>
        <w:spacing w:after="120" w:line="240" w:lineRule="auto"/>
        <w:jc w:val="both"/>
        <w:rPr>
          <w:rFonts w:ascii="Arial" w:eastAsia="Cambria" w:hAnsi="Arial" w:cs="Arial"/>
        </w:rPr>
      </w:pPr>
      <w:r w:rsidRPr="00BD2691">
        <w:rPr>
          <w:rFonts w:ascii="Arial" w:eastAsia="Cambria" w:hAnsi="Arial" w:cs="Arial"/>
        </w:rPr>
        <w:t xml:space="preserve">Com </w:t>
      </w:r>
      <w:r w:rsidR="002C6E93" w:rsidRPr="00BD2691">
        <w:rPr>
          <w:rFonts w:ascii="Arial" w:eastAsia="Cambria" w:hAnsi="Arial" w:cs="Arial"/>
          <w:b/>
        </w:rPr>
        <w:t>1</w:t>
      </w:r>
      <w:r w:rsidR="00BD2691" w:rsidRPr="00BD2691">
        <w:rPr>
          <w:rFonts w:ascii="Arial" w:eastAsia="Cambria" w:hAnsi="Arial" w:cs="Arial"/>
          <w:b/>
        </w:rPr>
        <w:t>1</w:t>
      </w:r>
      <w:r w:rsidRPr="00BD2691">
        <w:rPr>
          <w:rFonts w:ascii="Arial" w:eastAsia="Cambria" w:hAnsi="Arial" w:cs="Arial"/>
          <w:b/>
        </w:rPr>
        <w:t xml:space="preserve"> (</w:t>
      </w:r>
      <w:r w:rsidR="00BD2691" w:rsidRPr="00BD2691">
        <w:rPr>
          <w:rFonts w:ascii="Arial" w:eastAsia="Cambria" w:hAnsi="Arial" w:cs="Arial"/>
          <w:b/>
        </w:rPr>
        <w:t>onze</w:t>
      </w:r>
      <w:r w:rsidRPr="00BD2691">
        <w:rPr>
          <w:rFonts w:ascii="Arial" w:eastAsia="Cambria" w:hAnsi="Arial" w:cs="Arial"/>
          <w:b/>
        </w:rPr>
        <w:t xml:space="preserve">) votos favoráveis </w:t>
      </w:r>
      <w:r w:rsidRPr="00BD2691">
        <w:rPr>
          <w:rFonts w:ascii="Arial" w:eastAsia="Cambria" w:hAnsi="Arial" w:cs="Arial"/>
        </w:rPr>
        <w:t xml:space="preserve">dos conselheiros </w:t>
      </w:r>
      <w:r w:rsidR="002C6E93" w:rsidRPr="00BD2691">
        <w:rPr>
          <w:rFonts w:ascii="Arial" w:eastAsia="Cambria" w:hAnsi="Arial" w:cs="Arial"/>
        </w:rPr>
        <w:t xml:space="preserve">Cláudia Elisa Poletto, Daniel Rodrigues da Silva, Everson Martins, Fátima Regina Althoff, Felipe Braibante Kaspary, Jaqueline Andrade, Maurício André Giusti, Patrícia Figueiredo Sarquis Herden, </w:t>
      </w:r>
      <w:r w:rsidR="00BD2691" w:rsidRPr="00BD2691">
        <w:rPr>
          <w:rFonts w:ascii="Arial" w:eastAsia="Cambria" w:hAnsi="Arial" w:cs="Arial"/>
        </w:rPr>
        <w:t xml:space="preserve">Rodrigo Althoff Medeiros, </w:t>
      </w:r>
      <w:r w:rsidR="002C6E93" w:rsidRPr="00BD2691">
        <w:rPr>
          <w:rFonts w:ascii="Arial" w:eastAsia="Cambria" w:hAnsi="Arial" w:cs="Arial"/>
        </w:rPr>
        <w:t>Rosana Silveira e Valesca Menezes Marques</w:t>
      </w:r>
      <w:r w:rsidRPr="00BD2691">
        <w:rPr>
          <w:rFonts w:ascii="Arial" w:eastAsia="Cambria" w:hAnsi="Arial" w:cs="Arial"/>
        </w:rPr>
        <w:t xml:space="preserve">; </w:t>
      </w:r>
      <w:r w:rsidRPr="00BD2691">
        <w:rPr>
          <w:rFonts w:ascii="Arial" w:eastAsia="Cambria" w:hAnsi="Arial" w:cs="Arial"/>
          <w:b/>
        </w:rPr>
        <w:t>0 (zero) votos contrários;</w:t>
      </w:r>
      <w:r w:rsidRPr="00BD2691">
        <w:rPr>
          <w:rFonts w:ascii="Arial" w:eastAsia="Cambria" w:hAnsi="Arial" w:cs="Arial"/>
        </w:rPr>
        <w:t xml:space="preserve"> </w:t>
      </w:r>
      <w:r w:rsidRPr="00BD2691">
        <w:rPr>
          <w:rFonts w:ascii="Arial" w:eastAsia="Cambria" w:hAnsi="Arial" w:cs="Arial"/>
          <w:b/>
        </w:rPr>
        <w:t xml:space="preserve">0 (zero) abstenções </w:t>
      </w:r>
      <w:r w:rsidRPr="00BD2691">
        <w:rPr>
          <w:rFonts w:ascii="Arial" w:eastAsia="Cambria" w:hAnsi="Arial" w:cs="Arial"/>
        </w:rPr>
        <w:t xml:space="preserve">e </w:t>
      </w:r>
      <w:r w:rsidRPr="00BD2691">
        <w:rPr>
          <w:rFonts w:ascii="Arial" w:eastAsia="Cambria" w:hAnsi="Arial" w:cs="Arial"/>
          <w:b/>
        </w:rPr>
        <w:t>0</w:t>
      </w:r>
      <w:r w:rsidR="00BD2691" w:rsidRPr="00BD2691">
        <w:rPr>
          <w:rFonts w:ascii="Arial" w:eastAsia="Cambria" w:hAnsi="Arial" w:cs="Arial"/>
          <w:b/>
        </w:rPr>
        <w:t>1</w:t>
      </w:r>
      <w:r w:rsidRPr="00BD2691">
        <w:rPr>
          <w:rFonts w:ascii="Arial" w:eastAsia="Cambria" w:hAnsi="Arial" w:cs="Arial"/>
          <w:b/>
        </w:rPr>
        <w:t xml:space="preserve"> (</w:t>
      </w:r>
      <w:r w:rsidR="00BD2691" w:rsidRPr="00BD2691">
        <w:rPr>
          <w:rFonts w:ascii="Arial" w:eastAsia="Cambria" w:hAnsi="Arial" w:cs="Arial"/>
          <w:b/>
        </w:rPr>
        <w:t>um</w:t>
      </w:r>
      <w:r w:rsidRPr="00BD2691">
        <w:rPr>
          <w:rFonts w:ascii="Arial" w:eastAsia="Cambria" w:hAnsi="Arial" w:cs="Arial"/>
          <w:b/>
        </w:rPr>
        <w:t>) ausência</w:t>
      </w:r>
      <w:r w:rsidR="00BD2691" w:rsidRPr="00BD2691">
        <w:rPr>
          <w:rFonts w:ascii="Arial" w:eastAsia="Cambria" w:hAnsi="Arial" w:cs="Arial"/>
          <w:b/>
        </w:rPr>
        <w:t xml:space="preserve"> </w:t>
      </w:r>
      <w:r w:rsidR="00BD2691" w:rsidRPr="00BD2691">
        <w:rPr>
          <w:rFonts w:ascii="Arial" w:eastAsia="Cambria" w:hAnsi="Arial" w:cs="Arial"/>
        </w:rPr>
        <w:t xml:space="preserve">do </w:t>
      </w:r>
      <w:r w:rsidR="00855956" w:rsidRPr="00BD2691">
        <w:rPr>
          <w:rFonts w:ascii="Arial" w:eastAsia="Cambria" w:hAnsi="Arial" w:cs="Arial"/>
        </w:rPr>
        <w:t>Conselheiro Mateus</w:t>
      </w:r>
      <w:r w:rsidR="00BD2691" w:rsidRPr="00BD2691">
        <w:rPr>
          <w:rFonts w:ascii="Arial" w:eastAsia="Cambria" w:hAnsi="Arial" w:cs="Arial"/>
        </w:rPr>
        <w:t xml:space="preserve"> Szomorovszky.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855956">
        <w:rPr>
          <w:rFonts w:ascii="Arial" w:eastAsia="Cambria" w:hAnsi="Arial" w:cs="Arial"/>
        </w:rPr>
        <w:t>14/11/2020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DC6321" w:rsidP="00D006BF">
      <w:pPr>
        <w:spacing w:after="160" w:line="259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  <w:r w:rsidR="00D006BF">
        <w:rPr>
          <w:rFonts w:ascii="Arial" w:eastAsia="Cambria" w:hAnsi="Arial" w:cs="Arial"/>
          <w:b/>
          <w:bCs/>
          <w:lang w:eastAsia="pt-BR"/>
        </w:rPr>
        <w:lastRenderedPageBreak/>
        <w:t>110</w:t>
      </w:r>
      <w:proofErr w:type="gramStart"/>
      <w:r w:rsidR="00D006BF">
        <w:rPr>
          <w:rFonts w:ascii="Arial" w:eastAsia="Cambria" w:hAnsi="Arial" w:cs="Arial"/>
          <w:b/>
          <w:bCs/>
          <w:lang w:eastAsia="pt-BR"/>
        </w:rPr>
        <w:t xml:space="preserve">ª </w:t>
      </w:r>
      <w:r w:rsidR="00AD48E6" w:rsidRPr="00B60BA9">
        <w:rPr>
          <w:rFonts w:ascii="Arial" w:eastAsia="Cambria" w:hAnsi="Arial" w:cs="Arial"/>
          <w:b/>
          <w:bCs/>
          <w:lang w:eastAsia="pt-BR"/>
        </w:rPr>
        <w:t xml:space="preserve"> REUNIÃO</w:t>
      </w:r>
      <w:proofErr w:type="gramEnd"/>
      <w:r w:rsidR="00AD48E6" w:rsidRPr="00B60BA9">
        <w:rPr>
          <w:rFonts w:ascii="Arial" w:eastAsia="Cambria" w:hAnsi="Arial" w:cs="Arial"/>
          <w:b/>
          <w:bCs/>
          <w:lang w:eastAsia="pt-BR"/>
        </w:rPr>
        <w:t xml:space="preserve">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E442A4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E442A4" w:rsidRDefault="00E442A4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42A4" w:rsidRPr="002D59F7" w:rsidRDefault="00DB5ADF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42A4" w:rsidRPr="002D59F7" w:rsidRDefault="00E442A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E442A4" w:rsidRPr="002D59F7" w:rsidRDefault="00E442A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42A4" w:rsidRPr="002D59F7" w:rsidRDefault="00E442A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73224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AD48E6" w:rsidRPr="008D4059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730CC6">
              <w:rPr>
                <w:rFonts w:ascii="Arial" w:eastAsia="Cambria" w:hAnsi="Arial" w:cs="Arial"/>
              </w:rPr>
              <w:t>Suspensão</w:t>
            </w:r>
            <w:r w:rsidR="00730CC6" w:rsidRPr="00730CC6">
              <w:rPr>
                <w:rFonts w:ascii="Arial" w:eastAsia="Cambria" w:hAnsi="Arial" w:cs="Arial"/>
              </w:rPr>
              <w:t xml:space="preserve">, desde 20 de março de 2020 até o término de estado de calamidade pública estabelecido pelo União, o prazo de validade do concurso público nº 01/2016 </w:t>
            </w: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B5ADF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 w:rsidR="0073224B">
              <w:rPr>
                <w:rFonts w:ascii="Arial" w:eastAsia="Cambria" w:hAnsi="Arial" w:cs="Arial"/>
              </w:rPr>
              <w:t>1</w:t>
            </w:r>
            <w:r w:rsidR="00DB5ADF">
              <w:rPr>
                <w:rFonts w:ascii="Arial" w:eastAsia="Cambria" w:hAnsi="Arial" w:cs="Arial"/>
              </w:rPr>
              <w:t>1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DB5ADF">
              <w:rPr>
                <w:rFonts w:ascii="Arial" w:eastAsia="Cambria" w:hAnsi="Arial" w:cs="Arial"/>
              </w:rPr>
              <w:t>1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E442A4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sectPr w:rsidR="00DC6321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F33AD"/>
    <w:rsid w:val="00272592"/>
    <w:rsid w:val="00276575"/>
    <w:rsid w:val="002C6E93"/>
    <w:rsid w:val="002F0C84"/>
    <w:rsid w:val="003B43F1"/>
    <w:rsid w:val="00471FF9"/>
    <w:rsid w:val="004C449C"/>
    <w:rsid w:val="0068552B"/>
    <w:rsid w:val="00730CC6"/>
    <w:rsid w:val="0073224B"/>
    <w:rsid w:val="00855956"/>
    <w:rsid w:val="00A31B39"/>
    <w:rsid w:val="00AD48E6"/>
    <w:rsid w:val="00B47F45"/>
    <w:rsid w:val="00B71116"/>
    <w:rsid w:val="00BD2691"/>
    <w:rsid w:val="00C8665B"/>
    <w:rsid w:val="00CE5859"/>
    <w:rsid w:val="00D006BF"/>
    <w:rsid w:val="00DA2FC1"/>
    <w:rsid w:val="00DB5ADF"/>
    <w:rsid w:val="00DC6321"/>
    <w:rsid w:val="00E442A4"/>
    <w:rsid w:val="00EA27D9"/>
    <w:rsid w:val="00EA2868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9</cp:revision>
  <cp:lastPrinted>2020-12-14T13:11:00Z</cp:lastPrinted>
  <dcterms:created xsi:type="dcterms:W3CDTF">2020-12-10T20:41:00Z</dcterms:created>
  <dcterms:modified xsi:type="dcterms:W3CDTF">2020-12-14T13:11:00Z</dcterms:modified>
</cp:coreProperties>
</file>