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A8192A" w:rsidRPr="00473E0E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A8192A" w:rsidRPr="00473E0E" w:rsidRDefault="00A8192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A8192A" w:rsidRPr="00473E0E" w:rsidRDefault="00A8192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A8192A" w:rsidRPr="00473E0E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A8192A" w:rsidRPr="00473E0E" w:rsidRDefault="00A8192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A8192A" w:rsidRPr="00473E0E" w:rsidRDefault="00A8192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color w:val="000000"/>
                <w:sz w:val="22"/>
                <w:szCs w:val="22"/>
              </w:rPr>
              <w:t>CD-CAU/SC</w:t>
            </w:r>
          </w:p>
        </w:tc>
      </w:tr>
      <w:tr w:rsidR="00A8192A" w:rsidRPr="00473E0E" w:rsidTr="001A1132">
        <w:trPr>
          <w:trHeight w:val="116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A8192A" w:rsidRPr="00473E0E" w:rsidRDefault="00A8192A" w:rsidP="001A113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A8192A" w:rsidRPr="00473E0E" w:rsidRDefault="00A8192A" w:rsidP="001A113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sz w:val="22"/>
                <w:szCs w:val="22"/>
              </w:rPr>
              <w:t>Memorando de Entendimento – CAU/SC e BFB - BIM Fórum Brasil</w:t>
            </w:r>
          </w:p>
        </w:tc>
      </w:tr>
    </w:tbl>
    <w:p w:rsidR="00A8192A" w:rsidRPr="00473E0E" w:rsidRDefault="00A8192A" w:rsidP="00A8192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A8192A" w:rsidRPr="00473E0E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A8192A" w:rsidRPr="00473E0E" w:rsidRDefault="00A8192A" w:rsidP="000E5331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E0E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0E5331">
              <w:rPr>
                <w:rFonts w:ascii="Arial" w:hAnsi="Arial" w:cs="Arial"/>
                <w:sz w:val="22"/>
                <w:szCs w:val="22"/>
              </w:rPr>
              <w:t xml:space="preserve"> 596</w:t>
            </w:r>
            <w:r w:rsidRPr="00473E0E">
              <w:rPr>
                <w:rFonts w:ascii="Arial" w:hAnsi="Arial" w:cs="Arial"/>
                <w:sz w:val="22"/>
                <w:szCs w:val="22"/>
              </w:rPr>
              <w:t>, DE 14 DE MAIO DE 2021</w:t>
            </w:r>
          </w:p>
        </w:tc>
      </w:tr>
    </w:tbl>
    <w:p w:rsidR="00A8192A" w:rsidRPr="00473E0E" w:rsidRDefault="00A8192A" w:rsidP="00A8192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A8192A" w:rsidRDefault="00A8192A" w:rsidP="00A8192A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0E5331">
        <w:rPr>
          <w:rFonts w:ascii="Arial" w:hAnsi="Arial" w:cs="Arial"/>
          <w:sz w:val="22"/>
          <w:szCs w:val="22"/>
        </w:rPr>
        <w:t>Aprova</w:t>
      </w:r>
      <w:r w:rsidR="000E5331" w:rsidRPr="000E5331">
        <w:rPr>
          <w:rFonts w:ascii="Arial" w:hAnsi="Arial" w:cs="Arial"/>
          <w:sz w:val="22"/>
          <w:szCs w:val="22"/>
        </w:rPr>
        <w:t xml:space="preserve"> </w:t>
      </w:r>
      <w:r w:rsidRPr="000E5331">
        <w:rPr>
          <w:rFonts w:ascii="Arial" w:hAnsi="Arial" w:cs="Arial"/>
          <w:sz w:val="22"/>
          <w:szCs w:val="22"/>
        </w:rPr>
        <w:t xml:space="preserve">o Memorando de Entendimento entre o Conselho de Arquitetura e Urbanismo de Santa Catarina e o </w:t>
      </w:r>
      <w:r w:rsidRPr="000E5331">
        <w:rPr>
          <w:rFonts w:ascii="Arial" w:eastAsia="MS Mincho" w:hAnsi="Arial" w:cs="Arial"/>
          <w:sz w:val="22"/>
          <w:szCs w:val="22"/>
        </w:rPr>
        <w:t>BFB</w:t>
      </w:r>
      <w:r w:rsidRPr="000E5331">
        <w:rPr>
          <w:rFonts w:ascii="Arial" w:hAnsi="Arial" w:cs="Arial"/>
          <w:sz w:val="22"/>
          <w:szCs w:val="22"/>
        </w:rPr>
        <w:t xml:space="preserve"> - BIM Fórum Brasil, e estabelece</w:t>
      </w:r>
      <w:r w:rsidRPr="00473E0E">
        <w:rPr>
          <w:rFonts w:ascii="Arial" w:hAnsi="Arial" w:cs="Arial"/>
          <w:sz w:val="22"/>
          <w:szCs w:val="22"/>
        </w:rPr>
        <w:t xml:space="preserve"> outras providências.</w:t>
      </w:r>
    </w:p>
    <w:bookmarkEnd w:id="0"/>
    <w:p w:rsidR="000E5331" w:rsidRPr="00473E0E" w:rsidRDefault="000E5331" w:rsidP="00A8192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8192A" w:rsidRPr="00473E0E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473E0E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115ª Reunião Plenária Ordinária, de forma virtual, no dia 14 de maio de 2021, após análise do assunto em epígrafe, e</w:t>
      </w:r>
    </w:p>
    <w:p w:rsidR="00A8192A" w:rsidRPr="00473E0E" w:rsidRDefault="00A8192A" w:rsidP="00A8192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A8192A" w:rsidRPr="00473E0E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473E0E">
        <w:rPr>
          <w:rFonts w:ascii="Arial" w:hAnsi="Arial" w:cs="Arial"/>
          <w:sz w:val="22"/>
          <w:szCs w:val="22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A8192A" w:rsidRPr="00473E0E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473E0E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473E0E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A8192A" w:rsidRPr="00473E0E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473E0E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473E0E">
        <w:rPr>
          <w:rFonts w:ascii="Arial" w:hAnsi="Arial" w:cs="Arial"/>
          <w:sz w:val="22"/>
          <w:szCs w:val="22"/>
        </w:rPr>
        <w:t>Considerando que o objeto do presente Memorando de Entendimento versa sobre:</w:t>
      </w:r>
    </w:p>
    <w:p w:rsidR="00A8192A" w:rsidRPr="0019061E" w:rsidRDefault="00A8192A" w:rsidP="00A8192A">
      <w:pPr>
        <w:jc w:val="both"/>
        <w:rPr>
          <w:rFonts w:ascii="Arial" w:hAnsi="Arial" w:cs="Arial"/>
        </w:rPr>
      </w:pPr>
    </w:p>
    <w:p w:rsidR="00A8192A" w:rsidRPr="001430BE" w:rsidRDefault="00A8192A" w:rsidP="00A8192A">
      <w:pPr>
        <w:ind w:left="1134"/>
        <w:jc w:val="both"/>
        <w:rPr>
          <w:rFonts w:ascii="Arial" w:hAnsi="Arial" w:cs="Arial"/>
          <w:sz w:val="20"/>
          <w:szCs w:val="20"/>
        </w:rPr>
      </w:pPr>
      <w:r w:rsidRPr="001430BE">
        <w:rPr>
          <w:rFonts w:ascii="Arial" w:hAnsi="Arial" w:cs="Arial"/>
          <w:sz w:val="20"/>
          <w:szCs w:val="20"/>
        </w:rPr>
        <w:t xml:space="preserve">“(...) </w:t>
      </w:r>
    </w:p>
    <w:p w:rsidR="00A8192A" w:rsidRPr="001430BE" w:rsidRDefault="00A8192A" w:rsidP="00A8192A">
      <w:pPr>
        <w:ind w:left="1134"/>
        <w:jc w:val="both"/>
        <w:rPr>
          <w:rFonts w:ascii="Arial" w:hAnsi="Arial" w:cs="Arial"/>
          <w:sz w:val="20"/>
          <w:szCs w:val="20"/>
        </w:rPr>
      </w:pPr>
      <w:r w:rsidRPr="001430BE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1430BE">
        <w:rPr>
          <w:rFonts w:ascii="Arial" w:hAnsi="Arial" w:cs="Arial"/>
          <w:sz w:val="20"/>
          <w:szCs w:val="20"/>
        </w:rPr>
        <w:t xml:space="preserve"> Promover</w:t>
      </w:r>
      <w:proofErr w:type="gramEnd"/>
      <w:r w:rsidRPr="001430BE">
        <w:rPr>
          <w:rFonts w:ascii="Arial" w:hAnsi="Arial" w:cs="Arial"/>
          <w:sz w:val="20"/>
          <w:szCs w:val="20"/>
        </w:rPr>
        <w:t xml:space="preserve"> a modernização dos processos realizados pela Indústria da Construção;</w:t>
      </w:r>
    </w:p>
    <w:p w:rsidR="00A8192A" w:rsidRPr="001430BE" w:rsidRDefault="00A8192A" w:rsidP="00A8192A">
      <w:pPr>
        <w:ind w:left="1134"/>
        <w:jc w:val="both"/>
        <w:rPr>
          <w:rFonts w:ascii="Arial" w:hAnsi="Arial" w:cs="Arial"/>
          <w:sz w:val="20"/>
          <w:szCs w:val="20"/>
        </w:rPr>
      </w:pPr>
      <w:r w:rsidRPr="001430BE">
        <w:rPr>
          <w:rFonts w:ascii="Arial" w:hAnsi="Arial" w:cs="Arial"/>
          <w:sz w:val="20"/>
          <w:szCs w:val="20"/>
        </w:rPr>
        <w:t>2. Promover o desenvolvimento de um ambiente para que empresas e profissionais possam acessar conteúdos de qualidade referentes ao BIM e outras iniciativas também relacionadas à digitalização da Construção;</w:t>
      </w:r>
    </w:p>
    <w:p w:rsidR="00A8192A" w:rsidRPr="001430BE" w:rsidRDefault="00A8192A" w:rsidP="00A8192A">
      <w:pPr>
        <w:ind w:left="1134"/>
        <w:jc w:val="both"/>
        <w:rPr>
          <w:rFonts w:ascii="Arial" w:hAnsi="Arial" w:cs="Arial"/>
          <w:sz w:val="20"/>
          <w:szCs w:val="20"/>
        </w:rPr>
      </w:pPr>
      <w:r w:rsidRPr="001430BE">
        <w:rPr>
          <w:rFonts w:ascii="Arial" w:hAnsi="Arial" w:cs="Arial"/>
          <w:sz w:val="20"/>
          <w:szCs w:val="20"/>
        </w:rPr>
        <w:t>3. Desenvolver e viabilizar a oferta de capacitação BIM em variadas escalas de conhecimento e maturidade dos temas;</w:t>
      </w:r>
    </w:p>
    <w:p w:rsidR="00A8192A" w:rsidRPr="001430BE" w:rsidRDefault="00A8192A" w:rsidP="00A8192A">
      <w:pPr>
        <w:ind w:left="1134"/>
        <w:jc w:val="both"/>
        <w:rPr>
          <w:rFonts w:ascii="Arial" w:hAnsi="Arial" w:cs="Arial"/>
          <w:sz w:val="20"/>
          <w:szCs w:val="20"/>
        </w:rPr>
      </w:pPr>
      <w:r w:rsidRPr="001430BE">
        <w:rPr>
          <w:rFonts w:ascii="Arial" w:hAnsi="Arial" w:cs="Arial"/>
          <w:sz w:val="20"/>
          <w:szCs w:val="20"/>
        </w:rPr>
        <w:t>4. Viabilizar o acesso às informações referentes aos esforços do Governo Federal Brasileiro e da iniciativa privada, para disseminação e evolução da adoção do BIM no país.</w:t>
      </w:r>
    </w:p>
    <w:p w:rsidR="00A8192A" w:rsidRPr="001430BE" w:rsidRDefault="00A8192A" w:rsidP="00A8192A">
      <w:pPr>
        <w:ind w:left="1134"/>
        <w:jc w:val="both"/>
        <w:rPr>
          <w:rFonts w:ascii="Arial" w:hAnsi="Arial" w:cs="Arial"/>
          <w:sz w:val="20"/>
          <w:szCs w:val="20"/>
        </w:rPr>
      </w:pPr>
      <w:r w:rsidRPr="001430BE">
        <w:rPr>
          <w:rFonts w:ascii="Arial" w:hAnsi="Arial" w:cs="Arial"/>
          <w:sz w:val="20"/>
          <w:szCs w:val="20"/>
        </w:rPr>
        <w:t>(...).</w:t>
      </w:r>
    </w:p>
    <w:p w:rsidR="00A8192A" w:rsidRPr="001430BE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D447FD" w:rsidRDefault="00A8192A" w:rsidP="000E5331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sz w:val="22"/>
          <w:szCs w:val="22"/>
        </w:rPr>
        <w:t>Considerando a Deliberação CD-CAU/SC nº 014/2021, de 04 de maio de 2021, que aprovou o Memorando de Entendimento entre o Conselho de Arquitetura e Urbanismo de Santa Catarina e o BFB - BIM Fórum Brasil; e</w:t>
      </w:r>
    </w:p>
    <w:p w:rsidR="00A8192A" w:rsidRPr="00D447FD" w:rsidRDefault="00A8192A" w:rsidP="000E5331">
      <w:pPr>
        <w:jc w:val="both"/>
        <w:rPr>
          <w:rFonts w:ascii="Arial" w:hAnsi="Arial" w:cs="Arial"/>
          <w:sz w:val="22"/>
          <w:szCs w:val="22"/>
        </w:rPr>
      </w:pPr>
    </w:p>
    <w:p w:rsidR="00A8192A" w:rsidRPr="00D447FD" w:rsidRDefault="00A8192A" w:rsidP="000E5331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sz w:val="22"/>
          <w:szCs w:val="22"/>
        </w:rPr>
        <w:t>Considerando o referido Memorando de Entendimento apresentado.</w:t>
      </w:r>
    </w:p>
    <w:p w:rsidR="00A8192A" w:rsidRDefault="00A8192A" w:rsidP="000E5331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0E5331" w:rsidRPr="00D447FD" w:rsidRDefault="000E5331" w:rsidP="000E5331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A8192A" w:rsidRPr="00D447FD" w:rsidRDefault="00A8192A" w:rsidP="000E5331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b/>
          <w:bCs/>
          <w:sz w:val="22"/>
          <w:szCs w:val="22"/>
        </w:rPr>
        <w:t>DELIBER</w:t>
      </w:r>
      <w:r w:rsidR="000E5331">
        <w:rPr>
          <w:rFonts w:ascii="Arial" w:hAnsi="Arial" w:cs="Arial"/>
          <w:b/>
          <w:bCs/>
          <w:sz w:val="22"/>
          <w:szCs w:val="22"/>
        </w:rPr>
        <w:t>OU</w:t>
      </w:r>
      <w:r w:rsidRPr="00D447F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A8192A" w:rsidRDefault="00A8192A" w:rsidP="000E5331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0E5331" w:rsidRPr="00D447FD" w:rsidRDefault="000E5331" w:rsidP="000E5331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A8192A" w:rsidRDefault="00A8192A" w:rsidP="000E5331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sz w:val="22"/>
          <w:szCs w:val="22"/>
        </w:rPr>
        <w:t>1. Aprovar o Memorando de Entendimento entre o Conselho de Arquitetura e Urbanismo de Santa Catarina e o BIM Fórum Brasil (anexo);</w:t>
      </w:r>
    </w:p>
    <w:p w:rsidR="000E5331" w:rsidRDefault="000E5331" w:rsidP="000E5331">
      <w:pPr>
        <w:jc w:val="both"/>
        <w:rPr>
          <w:rFonts w:ascii="Arial" w:hAnsi="Arial" w:cs="Arial"/>
          <w:sz w:val="22"/>
          <w:szCs w:val="22"/>
        </w:rPr>
      </w:pPr>
    </w:p>
    <w:p w:rsidR="000E5331" w:rsidRPr="00D447FD" w:rsidRDefault="000E5331" w:rsidP="000E5331">
      <w:pPr>
        <w:jc w:val="both"/>
        <w:rPr>
          <w:rFonts w:ascii="Arial" w:hAnsi="Arial" w:cs="Arial"/>
          <w:sz w:val="22"/>
          <w:szCs w:val="22"/>
        </w:rPr>
      </w:pPr>
    </w:p>
    <w:p w:rsidR="00A8192A" w:rsidRPr="00D447FD" w:rsidRDefault="00A8192A" w:rsidP="000E533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A8192A" w:rsidRPr="00D447FD" w:rsidRDefault="00A8192A" w:rsidP="000E5331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sz w:val="22"/>
          <w:szCs w:val="22"/>
        </w:rPr>
        <w:lastRenderedPageBreak/>
        <w:t>2. Encaminhar esta deliberação para publicação no sítio eletrônico do CAU/SC;</w:t>
      </w:r>
    </w:p>
    <w:p w:rsidR="00A8192A" w:rsidRPr="00D447FD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D447FD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sz w:val="22"/>
          <w:szCs w:val="22"/>
        </w:rPr>
        <w:t>3. Esta Deliberação entra em vigor na data de sua publicação.</w:t>
      </w:r>
    </w:p>
    <w:p w:rsidR="00A8192A" w:rsidRPr="00D447FD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D447FD" w:rsidRDefault="00A8192A" w:rsidP="00A8192A">
      <w:pPr>
        <w:pStyle w:val="Default"/>
        <w:rPr>
          <w:rFonts w:ascii="Arial" w:hAnsi="Arial" w:cs="Arial"/>
          <w:sz w:val="22"/>
          <w:szCs w:val="22"/>
        </w:rPr>
      </w:pPr>
    </w:p>
    <w:p w:rsidR="009A52A7" w:rsidRDefault="009A52A7" w:rsidP="009A52A7">
      <w:pPr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Florianópolis, 14 de maio de 2021.</w:t>
      </w:r>
    </w:p>
    <w:p w:rsidR="009A52A7" w:rsidRPr="00A302ED" w:rsidRDefault="009A52A7" w:rsidP="009A52A7">
      <w:pPr>
        <w:jc w:val="center"/>
        <w:rPr>
          <w:rFonts w:ascii="Arial" w:hAnsi="Arial" w:cs="Arial"/>
          <w:sz w:val="22"/>
          <w:szCs w:val="22"/>
        </w:rPr>
      </w:pPr>
    </w:p>
    <w:p w:rsidR="009A52A7" w:rsidRPr="00A302ED" w:rsidRDefault="009A52A7" w:rsidP="009A52A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9A52A7" w:rsidRDefault="009A52A7" w:rsidP="009A52A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9A52A7" w:rsidRDefault="009A52A7" w:rsidP="009A52A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9A52A7" w:rsidRPr="00A302ED" w:rsidRDefault="009A52A7" w:rsidP="009A52A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9A52A7" w:rsidRDefault="009A52A7" w:rsidP="009A52A7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9A52A7" w:rsidRPr="00A302ED" w:rsidRDefault="009A52A7" w:rsidP="009A52A7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9A52A7" w:rsidRPr="00A302ED" w:rsidRDefault="009A52A7" w:rsidP="009A52A7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Arquiteta e Urbanista</w:t>
      </w:r>
    </w:p>
    <w:p w:rsidR="009A52A7" w:rsidRPr="005618E7" w:rsidRDefault="009A52A7" w:rsidP="009A52A7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5618E7">
        <w:rPr>
          <w:rFonts w:ascii="Arial" w:hAnsi="Arial" w:cs="Arial"/>
          <w:sz w:val="22"/>
          <w:szCs w:val="22"/>
        </w:rPr>
        <w:t>Presidente do CAU/SC</w:t>
      </w:r>
    </w:p>
    <w:p w:rsidR="00A8192A" w:rsidRPr="00D447FD" w:rsidRDefault="00A8192A" w:rsidP="00A8192A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A8192A" w:rsidRDefault="00E51130" w:rsidP="00E51130">
      <w:pPr>
        <w:ind w:left="3402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Publicado em:18/05/2021</w:t>
      </w: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A8192A" w:rsidRDefault="00A8192A" w:rsidP="00A8192A">
      <w:pPr>
        <w:ind w:left="3402"/>
        <w:jc w:val="both"/>
        <w:rPr>
          <w:rFonts w:ascii="Arial" w:hAnsi="Arial" w:cs="Arial"/>
        </w:rPr>
      </w:pPr>
    </w:p>
    <w:p w:rsidR="009A52A7" w:rsidRDefault="009A52A7" w:rsidP="00A8192A">
      <w:pPr>
        <w:ind w:left="3402"/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ind w:left="3402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lastRenderedPageBreak/>
        <w:t>ANEXO</w:t>
      </w:r>
    </w:p>
    <w:p w:rsidR="00A8192A" w:rsidRPr="000E5331" w:rsidRDefault="00A8192A" w:rsidP="00A8192A">
      <w:pPr>
        <w:ind w:left="3402"/>
        <w:jc w:val="both"/>
        <w:rPr>
          <w:rFonts w:ascii="Arial" w:hAnsi="Arial" w:cs="Arial"/>
          <w:b/>
          <w:sz w:val="22"/>
          <w:szCs w:val="22"/>
        </w:rPr>
      </w:pPr>
    </w:p>
    <w:p w:rsidR="00A8192A" w:rsidRPr="000E5331" w:rsidRDefault="00A8192A" w:rsidP="00A8192A">
      <w:pPr>
        <w:ind w:left="3402"/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 xml:space="preserve">MEMORANDO DE ENTENDIMENTOS QUE ENTRE SI CELEBRAM O BIM FÓRUM BRASIL E O </w:t>
      </w:r>
      <w:r w:rsidRPr="000E5331">
        <w:rPr>
          <w:rFonts w:ascii="Arial" w:hAnsi="Arial" w:cs="Arial"/>
          <w:b/>
          <w:bCs/>
          <w:sz w:val="22"/>
          <w:szCs w:val="22"/>
        </w:rPr>
        <w:t>CONSELHO DE ARQUITETURA E URBANISMO DE SANTA CATARINA</w:t>
      </w:r>
      <w:r w:rsidRPr="000E5331">
        <w:rPr>
          <w:rFonts w:ascii="Arial" w:hAnsi="Arial" w:cs="Arial"/>
          <w:b/>
          <w:sz w:val="22"/>
          <w:szCs w:val="22"/>
        </w:rPr>
        <w:t>, NA FORMA ABAIXO:</w:t>
      </w:r>
    </w:p>
    <w:p w:rsidR="00A8192A" w:rsidRPr="000E5331" w:rsidRDefault="00A8192A" w:rsidP="00A8192A">
      <w:pPr>
        <w:rPr>
          <w:rFonts w:ascii="Arial" w:hAnsi="Arial" w:cs="Arial"/>
          <w:b/>
          <w:sz w:val="22"/>
          <w:szCs w:val="22"/>
        </w:rPr>
      </w:pPr>
    </w:p>
    <w:p w:rsidR="00A8192A" w:rsidRPr="000E5331" w:rsidRDefault="00A8192A" w:rsidP="00A81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b/>
          <w:bCs/>
          <w:sz w:val="22"/>
          <w:szCs w:val="22"/>
        </w:rPr>
        <w:t>O BIM FÓRUM BRASIL</w:t>
      </w:r>
      <w:r w:rsidRPr="000E5331">
        <w:rPr>
          <w:rFonts w:ascii="Arial" w:hAnsi="Arial" w:cs="Arial"/>
          <w:sz w:val="22"/>
          <w:szCs w:val="22"/>
        </w:rPr>
        <w:t xml:space="preserve">, instituído como sociedade civil, inscrito no CNPJ de Nº 38.713.790/0001-25, de âmbito nacional, neutra, sem fins lucrativos, que tem sua sede na Av. Paulista, 302, Conj. 50 – Bela Vista – CEP 013100-000 – São Paulo – SP, neste ato representada pelo seu atual Presidente e legítimo representante, </w:t>
      </w:r>
      <w:r w:rsidRPr="000E5331">
        <w:rPr>
          <w:rFonts w:ascii="Arial" w:hAnsi="Arial" w:cs="Arial"/>
          <w:b/>
          <w:sz w:val="22"/>
          <w:szCs w:val="22"/>
        </w:rPr>
        <w:t>Wilton Silva Catelani</w:t>
      </w:r>
      <w:r w:rsidRPr="000E5331">
        <w:rPr>
          <w:rFonts w:ascii="Arial" w:hAnsi="Arial" w:cs="Arial"/>
          <w:sz w:val="22"/>
          <w:szCs w:val="22"/>
        </w:rPr>
        <w:t xml:space="preserve">, engenheiro civil, portador do R.G. Nº </w:t>
      </w:r>
      <w:proofErr w:type="spellStart"/>
      <w:r w:rsidR="000E5331">
        <w:rPr>
          <w:rFonts w:ascii="Arial" w:hAnsi="Arial" w:cs="Arial"/>
          <w:sz w:val="22"/>
          <w:szCs w:val="22"/>
        </w:rPr>
        <w:t>xxxxxxxxxxxxxxx</w:t>
      </w:r>
      <w:proofErr w:type="spellEnd"/>
      <w:r w:rsidRPr="000E5331">
        <w:rPr>
          <w:rFonts w:ascii="Arial" w:hAnsi="Arial" w:cs="Arial"/>
          <w:sz w:val="22"/>
          <w:szCs w:val="22"/>
        </w:rPr>
        <w:t xml:space="preserve"> CPF Nº </w:t>
      </w:r>
      <w:proofErr w:type="spellStart"/>
      <w:r w:rsidR="000E5331">
        <w:rPr>
          <w:rFonts w:ascii="Arial" w:hAnsi="Arial" w:cs="Arial"/>
          <w:sz w:val="22"/>
          <w:szCs w:val="22"/>
        </w:rPr>
        <w:t>xxxxxxxxxxxxxxxxxx</w:t>
      </w:r>
      <w:proofErr w:type="spellEnd"/>
      <w:r w:rsidRPr="000E5331">
        <w:rPr>
          <w:rFonts w:ascii="Arial" w:hAnsi="Arial" w:cs="Arial"/>
          <w:sz w:val="22"/>
          <w:szCs w:val="22"/>
        </w:rPr>
        <w:t xml:space="preserve">, na forma do seu estatuto, aprovado pelos associados em Assembleia Geral de Fundação, realizada no dia 01 de julho de 2020, doravante denominado </w:t>
      </w:r>
      <w:r w:rsidRPr="000E5331">
        <w:rPr>
          <w:rFonts w:ascii="Arial" w:hAnsi="Arial" w:cs="Arial"/>
          <w:b/>
          <w:sz w:val="22"/>
          <w:szCs w:val="22"/>
        </w:rPr>
        <w:t>BFB</w:t>
      </w:r>
      <w:r w:rsidRPr="000E5331">
        <w:rPr>
          <w:rFonts w:ascii="Arial" w:hAnsi="Arial" w:cs="Arial"/>
          <w:sz w:val="22"/>
          <w:szCs w:val="22"/>
        </w:rPr>
        <w:t>;</w:t>
      </w:r>
    </w:p>
    <w:p w:rsidR="00A8192A" w:rsidRPr="000E5331" w:rsidRDefault="00A8192A" w:rsidP="00A81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bCs/>
          <w:sz w:val="22"/>
          <w:szCs w:val="22"/>
        </w:rPr>
        <w:t xml:space="preserve">O </w:t>
      </w:r>
      <w:r w:rsidRPr="000E5331">
        <w:rPr>
          <w:rFonts w:ascii="Arial" w:hAnsi="Arial" w:cs="Arial"/>
          <w:b/>
          <w:bCs/>
          <w:sz w:val="22"/>
          <w:szCs w:val="22"/>
        </w:rPr>
        <w:t>CONSELHO DE ARQUITETURA E URBANISMO DE SANTA CATARINA</w:t>
      </w:r>
      <w:r w:rsidRPr="000E5331">
        <w:rPr>
          <w:rFonts w:ascii="Arial" w:hAnsi="Arial" w:cs="Arial"/>
          <w:sz w:val="22"/>
          <w:szCs w:val="22"/>
        </w:rPr>
        <w:t>, Autarquia Federal, com personalidade jurídica de direito público, inscrito no CNPJ de Nº</w:t>
      </w:r>
      <w:r w:rsidRPr="000E5331">
        <w:rPr>
          <w:sz w:val="22"/>
          <w:szCs w:val="22"/>
        </w:rPr>
        <w:t xml:space="preserve"> </w:t>
      </w:r>
      <w:r w:rsidRPr="000E5331">
        <w:rPr>
          <w:rFonts w:ascii="Arial" w:hAnsi="Arial" w:cs="Arial"/>
          <w:sz w:val="22"/>
          <w:szCs w:val="22"/>
        </w:rPr>
        <w:t xml:space="preserve">14.895.272.0001-01, que tem sua sede na Av. Pref. Osmar Cunha, 260, 6º andar Centro | Florianópolis/SC - CEP 88015-100, neste ato representada pela sua atual Presidente e legítima representante, </w:t>
      </w:r>
      <w:r w:rsidRPr="000E5331">
        <w:rPr>
          <w:rFonts w:ascii="Arial" w:hAnsi="Arial" w:cs="Arial"/>
          <w:b/>
          <w:sz w:val="22"/>
          <w:szCs w:val="22"/>
        </w:rPr>
        <w:t>Patrícia Figueiredo Sarquis Herden</w:t>
      </w:r>
      <w:r w:rsidRPr="000E5331">
        <w:rPr>
          <w:rFonts w:ascii="Arial" w:hAnsi="Arial" w:cs="Arial"/>
          <w:sz w:val="22"/>
          <w:szCs w:val="22"/>
        </w:rPr>
        <w:t xml:space="preserve">, arquiteta, R.G. </w:t>
      </w:r>
      <w:proofErr w:type="spellStart"/>
      <w:r w:rsidR="000E5331">
        <w:rPr>
          <w:rFonts w:ascii="Arial" w:hAnsi="Arial" w:cs="Arial"/>
          <w:sz w:val="22"/>
          <w:szCs w:val="22"/>
        </w:rPr>
        <w:t>xxxxxxxxxxxxxx</w:t>
      </w:r>
      <w:proofErr w:type="spellEnd"/>
      <w:r w:rsidR="000E5331">
        <w:rPr>
          <w:rFonts w:ascii="Arial" w:hAnsi="Arial" w:cs="Arial"/>
          <w:sz w:val="22"/>
          <w:szCs w:val="22"/>
        </w:rPr>
        <w:t xml:space="preserve"> e </w:t>
      </w:r>
      <w:r w:rsidRPr="000E5331">
        <w:rPr>
          <w:rFonts w:ascii="Arial" w:hAnsi="Arial" w:cs="Arial"/>
          <w:sz w:val="22"/>
          <w:szCs w:val="22"/>
        </w:rPr>
        <w:t xml:space="preserve">CPF Nº </w:t>
      </w:r>
      <w:proofErr w:type="spellStart"/>
      <w:r w:rsidR="000E5331">
        <w:rPr>
          <w:rFonts w:ascii="Arial" w:hAnsi="Arial" w:cs="Arial"/>
          <w:sz w:val="22"/>
          <w:szCs w:val="22"/>
        </w:rPr>
        <w:t>xxxxxxxxxxxx</w:t>
      </w:r>
      <w:proofErr w:type="spellEnd"/>
      <w:r w:rsidR="000E5331">
        <w:rPr>
          <w:rFonts w:ascii="Arial" w:hAnsi="Arial" w:cs="Arial"/>
          <w:sz w:val="22"/>
          <w:szCs w:val="22"/>
        </w:rPr>
        <w:t>,</w:t>
      </w:r>
      <w:r w:rsidRPr="000E5331">
        <w:rPr>
          <w:rFonts w:ascii="Arial" w:hAnsi="Arial" w:cs="Arial"/>
          <w:sz w:val="22"/>
          <w:szCs w:val="22"/>
        </w:rPr>
        <w:t xml:space="preserve"> doravante denominado </w:t>
      </w:r>
      <w:r w:rsidRPr="000E5331">
        <w:rPr>
          <w:rFonts w:ascii="Arial" w:hAnsi="Arial" w:cs="Arial"/>
          <w:b/>
          <w:sz w:val="22"/>
          <w:szCs w:val="22"/>
        </w:rPr>
        <w:t>CAU/SC</w:t>
      </w:r>
      <w:r w:rsidRPr="000E5331">
        <w:rPr>
          <w:rFonts w:ascii="Arial" w:hAnsi="Arial" w:cs="Arial"/>
          <w:sz w:val="22"/>
          <w:szCs w:val="22"/>
        </w:rPr>
        <w:t>; e, quando em conjunto denominados PARTES,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color w:val="000000"/>
          <w:sz w:val="22"/>
          <w:szCs w:val="22"/>
        </w:rPr>
        <w:t>Considerando que:</w:t>
      </w:r>
    </w:p>
    <w:p w:rsidR="00A8192A" w:rsidRPr="000E5331" w:rsidRDefault="00A8192A" w:rsidP="00A8192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8192A" w:rsidRPr="000E5331" w:rsidRDefault="00A8192A" w:rsidP="00A8192A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sz w:val="22"/>
          <w:szCs w:val="22"/>
          <w:lang w:eastAsia="pt-BR"/>
        </w:rPr>
        <w:t>A Indústria da Construção do Brasil possui oportunidades de melhorias relacionadas tanto à modernização dos sistemas construtivos quanto à eficiência dos processos de gestão;</w:t>
      </w:r>
    </w:p>
    <w:p w:rsidR="00A8192A" w:rsidRPr="000E5331" w:rsidRDefault="00A8192A" w:rsidP="00A8192A">
      <w:pPr>
        <w:pStyle w:val="PargrafodaLista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8192A" w:rsidRPr="000E5331" w:rsidRDefault="00A8192A" w:rsidP="00A8192A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sz w:val="22"/>
          <w:szCs w:val="22"/>
          <w:lang w:eastAsia="pt-BR"/>
        </w:rPr>
        <w:t>Tornar as empresas, em especial, as pequenas e médias, mais competitivas e culturalmente aderentes à inovação, será determinante para a permanência destas no mercado;</w:t>
      </w:r>
    </w:p>
    <w:p w:rsidR="00A8192A" w:rsidRPr="000E5331" w:rsidRDefault="00A8192A" w:rsidP="00A8192A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A8192A" w:rsidRPr="000E5331" w:rsidRDefault="00A8192A" w:rsidP="00A8192A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sz w:val="22"/>
          <w:szCs w:val="22"/>
          <w:lang w:eastAsia="pt-BR"/>
        </w:rPr>
        <w:t>Quando adotado em projetos de qualquer escala, o BIM (</w:t>
      </w:r>
      <w:proofErr w:type="spellStart"/>
      <w:r w:rsidRPr="000E533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Building</w:t>
      </w:r>
      <w:proofErr w:type="spellEnd"/>
      <w:r w:rsidRPr="000E533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Information</w:t>
      </w:r>
      <w:proofErr w:type="spellEnd"/>
      <w:r w:rsidRPr="000E533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Modeling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>) pode aumentar a produtividade, viabilizar a automação de processos, reduzir custos e desperdícios e aprimorar significativamente o gerenciamento de informações sobre ativos construídos ao longo do seu ciclo de vida;</w:t>
      </w:r>
    </w:p>
    <w:p w:rsidR="00A8192A" w:rsidRPr="000E5331" w:rsidRDefault="00A8192A" w:rsidP="00A8192A">
      <w:pPr>
        <w:pStyle w:val="PargrafodaLista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8192A" w:rsidRPr="000E5331" w:rsidRDefault="00A8192A" w:rsidP="00A8192A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Considerando o Decreto nº 10.306, de 2 de abril de 2020, que estabelece a utilização do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Building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Information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Modelling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na execução direta ou indireta de obras e serviços de engenharia realizada pelos órgãos e pelas entidades da administração pública federal, no âmbito da Estratégia Nacional de Disseminação do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Building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Information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Modelling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- Estratégia BIM BR, instituída pelo Decreto nº 9.983, de 22 de agosto de 2019;</w:t>
      </w:r>
    </w:p>
    <w:p w:rsidR="00A8192A" w:rsidRPr="000E5331" w:rsidRDefault="00A8192A" w:rsidP="00A8192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8192A" w:rsidRPr="000E5331" w:rsidRDefault="00A8192A" w:rsidP="00A8192A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Considerando o Decreto nº 9.983, de 22 de agosto de 2019, que dispõe sobre a Estratégia Nacional de Disseminação do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Building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Information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Modelling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e institui o Comitê Gestor da Estratégia do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Building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Information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0E5331">
        <w:rPr>
          <w:rFonts w:ascii="Arial" w:eastAsia="Times New Roman" w:hAnsi="Arial" w:cs="Arial"/>
          <w:sz w:val="22"/>
          <w:szCs w:val="22"/>
          <w:lang w:eastAsia="pt-BR"/>
        </w:rPr>
        <w:t>Modelling</w:t>
      </w:r>
      <w:proofErr w:type="spellEnd"/>
      <w:r w:rsidRPr="000E5331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A8192A" w:rsidRPr="000E5331" w:rsidRDefault="00A8192A" w:rsidP="00A8192A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A8192A" w:rsidRPr="000E5331" w:rsidRDefault="00A8192A" w:rsidP="00A8192A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sz w:val="22"/>
          <w:szCs w:val="22"/>
          <w:lang w:eastAsia="pt-BR"/>
        </w:rPr>
        <w:t>Considerando a necessidade do CAU/SC estreitar relações com entidades de fomento do uso de BIM e que estas possam subsidiar o Conselho de informações necessárias para atualização dos arquitetos e urbanistas sobre o tema;</w:t>
      </w:r>
    </w:p>
    <w:p w:rsidR="00A8192A" w:rsidRPr="000E5331" w:rsidRDefault="00A8192A" w:rsidP="00A8192A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A8192A" w:rsidRPr="000E5331" w:rsidRDefault="00A8192A" w:rsidP="00A8192A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sz w:val="22"/>
          <w:szCs w:val="22"/>
          <w:lang w:eastAsia="pt-BR"/>
        </w:rPr>
        <w:t>As PARTES possuem alinhamentos e harmonia nos seus princípios, culturas, missões e visões;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 xml:space="preserve">Resolvem celebrar o presente </w:t>
      </w:r>
      <w:r w:rsidRPr="000E5331">
        <w:rPr>
          <w:rFonts w:ascii="Arial" w:hAnsi="Arial" w:cs="Arial"/>
          <w:b/>
          <w:sz w:val="22"/>
          <w:szCs w:val="22"/>
        </w:rPr>
        <w:t>MEMORANDO DE ENTENDIMENTOS</w:t>
      </w:r>
      <w:r w:rsidRPr="000E5331">
        <w:rPr>
          <w:rFonts w:ascii="Arial" w:hAnsi="Arial" w:cs="Arial"/>
          <w:sz w:val="22"/>
          <w:szCs w:val="22"/>
        </w:rPr>
        <w:t xml:space="preserve"> de acordo com as seguintes cláusulas e condições: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CLÁUSULA PRIMEIRA — DO OBJETO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O presente instrumento tem por objeto a conjunção de esforços entre os Partícipes, com o objetivo de:</w:t>
      </w:r>
    </w:p>
    <w:p w:rsidR="00A8192A" w:rsidRPr="000E5331" w:rsidRDefault="00A8192A" w:rsidP="00A8192A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1. Promover a modernização dos processos realizados pela Indústria da Construção;</w:t>
      </w:r>
    </w:p>
    <w:p w:rsidR="00A8192A" w:rsidRPr="000E5331" w:rsidRDefault="00A8192A" w:rsidP="00A8192A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2. Promover o desenvolvimento de um ambiente para que empresas e profissionais possam acessar conteúdos de qualidade referentes ao BIM e outras iniciativas também relacionadas à digitalização da Construção;</w:t>
      </w:r>
    </w:p>
    <w:p w:rsidR="00A8192A" w:rsidRPr="000E5331" w:rsidRDefault="00A8192A" w:rsidP="00A8192A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3. Desenvolver e viabilizar a oferta de capacitação BIM em variadas escalas de conhecimento e maturidade dos temas;</w:t>
      </w:r>
    </w:p>
    <w:p w:rsidR="00A8192A" w:rsidRPr="000E5331" w:rsidRDefault="00A8192A" w:rsidP="00A8192A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4. Viabilizar o acesso às informações referentes aos esforços do Governo Federal Brasileiro e da iniciativa privada, para disseminação e evolução da adoção do BIM no país.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 xml:space="preserve">     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0E533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CLÁUSULA SEGUNDA – DA FORMA DE EXECUÇÃO</w:t>
      </w:r>
    </w:p>
    <w:p w:rsidR="00A8192A" w:rsidRPr="000E5331" w:rsidRDefault="00A8192A" w:rsidP="00A8192A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:rsidR="00A8192A" w:rsidRPr="000E5331" w:rsidRDefault="00A8192A" w:rsidP="00A8192A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2.1. Os projetos e atividades que decorram deste Memorando de Entendimentos serão definidos em instrumentos específicos a serem celebrados entre as Partes, os quais observarão as disposições da Lei 13.019/2014 e do Decreto 8.726/2016, neles se estabelecendo, de maneira pormenorizada, as metas a serem atingidas, bem como o planejamento dos trabalhos que serão desenvolvidos.</w:t>
      </w:r>
    </w:p>
    <w:p w:rsidR="00A8192A" w:rsidRPr="000E5331" w:rsidRDefault="00A8192A" w:rsidP="00A8192A">
      <w:pPr>
        <w:widowControl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CLÁUSULA TERCEIRA — DOS COMPROMISSOS DOS PARTÍCIPES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 xml:space="preserve">3.1. O </w:t>
      </w:r>
      <w:r w:rsidRPr="000E5331">
        <w:rPr>
          <w:rFonts w:ascii="Arial" w:hAnsi="Arial" w:cs="Arial"/>
          <w:b/>
          <w:sz w:val="22"/>
          <w:szCs w:val="22"/>
        </w:rPr>
        <w:t>BFB</w:t>
      </w:r>
      <w:r w:rsidRPr="000E5331">
        <w:rPr>
          <w:rFonts w:ascii="Arial" w:hAnsi="Arial" w:cs="Arial"/>
          <w:sz w:val="22"/>
          <w:szCs w:val="22"/>
        </w:rPr>
        <w:t xml:space="preserve"> compromete-se a envidar esforços para: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E5331">
        <w:rPr>
          <w:rFonts w:ascii="Arial" w:hAnsi="Arial" w:cs="Arial"/>
          <w:sz w:val="22"/>
          <w:szCs w:val="22"/>
          <w:lang w:eastAsia="pt-BR"/>
        </w:rPr>
        <w:t>Coordenar as atividades previstas na iniciativa, disponibilizando os recursos humanos, materiais e infraestrutura necessários à execução das atividades definidas como de sua responsabilidade;</w:t>
      </w:r>
    </w:p>
    <w:p w:rsidR="00A8192A" w:rsidRPr="000E5331" w:rsidRDefault="00A8192A" w:rsidP="00A8192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  <w:lang w:eastAsia="pt-BR"/>
        </w:rPr>
        <w:t>Executar as atividades previstas nos instrumentos específicos, disponibilizando os recursos humanos, materiais e infraestrutura necessários ao cumprimento das atividades definidas como de sua responsabilidade</w:t>
      </w:r>
      <w:r w:rsidRPr="000E5331">
        <w:rPr>
          <w:rFonts w:ascii="Arial" w:hAnsi="Arial" w:cs="Arial"/>
          <w:sz w:val="22"/>
          <w:szCs w:val="22"/>
        </w:rPr>
        <w:t xml:space="preserve">; </w:t>
      </w:r>
    </w:p>
    <w:p w:rsidR="00A8192A" w:rsidRPr="000E5331" w:rsidRDefault="00A8192A" w:rsidP="00A8192A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lastRenderedPageBreak/>
        <w:t>Conceder descontos aos associados do CAU/SC para participação em eventos pagos promovidos pela entidade;</w:t>
      </w:r>
    </w:p>
    <w:p w:rsidR="00A8192A" w:rsidRPr="000E5331" w:rsidRDefault="00A8192A" w:rsidP="00A8192A">
      <w:pPr>
        <w:pStyle w:val="PargrafodaLista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Conceder participação ao CAU/SC nos grupos de trabalho temáticos de interesse das PARTES;</w:t>
      </w:r>
    </w:p>
    <w:p w:rsidR="00A8192A" w:rsidRPr="000E5331" w:rsidRDefault="00A8192A" w:rsidP="00A8192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Divulgar as iniciativas à rede de entidades parceiras, nacionais e internacionais, para mobilização de potenciais interessados em aderirem e participarem dos projetos viabilizados pela cooperação entre o BFB e o CAU/SC, respeitando as diretrizes e requisitos da Lei Geral de Proteção de Dados (LGPD);</w:t>
      </w:r>
    </w:p>
    <w:p w:rsidR="00A8192A" w:rsidRPr="000E5331" w:rsidRDefault="00A8192A" w:rsidP="00A8192A">
      <w:pPr>
        <w:pStyle w:val="PargrafodaLista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Divulgar as iniciativas realizadas pela cooperação entre o BFB e o CAU/SC junto ao Governo Federal, para convergência das ações e otimização dos esforços de difusão.</w:t>
      </w:r>
    </w:p>
    <w:p w:rsidR="00A8192A" w:rsidRPr="000E5331" w:rsidRDefault="00A8192A" w:rsidP="00A8192A">
      <w:pPr>
        <w:pStyle w:val="PargrafodaLista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3.2. O CAU/SC compromete-se envidar esforços para: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 xml:space="preserve">Divulgar as iniciativas e demais ações do BFB; </w:t>
      </w:r>
    </w:p>
    <w:p w:rsidR="00A8192A" w:rsidRPr="000E5331" w:rsidRDefault="00A8192A" w:rsidP="00A8192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Mobilizar representante para participação nos grupos de trabalho temáticos do BFB de interesse de ambas as PARTES;</w:t>
      </w:r>
    </w:p>
    <w:p w:rsidR="00A8192A" w:rsidRPr="000E5331" w:rsidRDefault="00A8192A" w:rsidP="00A8192A">
      <w:pPr>
        <w:pStyle w:val="PargrafodaLista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Identificar demandas relacionadas ao BIM junto a sua base que possam gerar potenciais projetos a serem desenvolvidos em cooperação com o BFB;</w:t>
      </w:r>
    </w:p>
    <w:p w:rsidR="00A8192A" w:rsidRPr="000E5331" w:rsidRDefault="00A8192A" w:rsidP="00A8192A">
      <w:pPr>
        <w:pStyle w:val="PargrafodaLista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Divulgar as iniciativas realizadas pela cooperação entre BFB e CAU/SC junto ao Governo Federal, para convergência das ações e otimização dos esforços de difusão.</w:t>
      </w:r>
    </w:p>
    <w:p w:rsidR="00A8192A" w:rsidRPr="000E5331" w:rsidRDefault="00A8192A" w:rsidP="00A8192A">
      <w:pPr>
        <w:pStyle w:val="PargrafodaLista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pStyle w:val="PargrafodaLista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CLÁUSULA QUARTA – DA OPERACIONALIZAÇÃO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 xml:space="preserve">4.1. Os partícipes, por meio dos seus representantes técnicos, definidos pelas partes e em conjunto, definirão os passos e procedimentos operacionais que nortearão a execução do presente </w:t>
      </w:r>
      <w:r w:rsidRPr="000E5331">
        <w:rPr>
          <w:rFonts w:ascii="Arial" w:hAnsi="Arial" w:cs="Arial"/>
          <w:b/>
          <w:sz w:val="22"/>
          <w:szCs w:val="22"/>
        </w:rPr>
        <w:t>MEMORANDO</w:t>
      </w:r>
      <w:r w:rsidRPr="000E5331">
        <w:rPr>
          <w:rFonts w:ascii="Arial" w:hAnsi="Arial" w:cs="Arial"/>
          <w:sz w:val="22"/>
          <w:szCs w:val="22"/>
        </w:rPr>
        <w:t>.</w:t>
      </w: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CLÁUSULA QUINTA – DOS RECURSOS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5.1. O presente instrumento não caracteriza qualquer compromisso de repasse de recurso entre os partícipes, devendo cada um arcar com os custos necessários ao cumprimento de suas atribuições nos termos desta cooperação.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ab/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ab/>
      </w: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CLÁUSULA SEXTA - DA VIGÊNCIA E DAS ALTERAÇÕES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 xml:space="preserve">6.1. O presente </w:t>
      </w:r>
      <w:r w:rsidRPr="000E5331">
        <w:rPr>
          <w:rFonts w:ascii="Arial" w:hAnsi="Arial" w:cs="Arial"/>
          <w:b/>
          <w:sz w:val="22"/>
          <w:szCs w:val="22"/>
        </w:rPr>
        <w:t>MEMORANDO</w:t>
      </w:r>
      <w:r w:rsidRPr="000E5331">
        <w:rPr>
          <w:rFonts w:ascii="Arial" w:hAnsi="Arial" w:cs="Arial"/>
          <w:sz w:val="22"/>
          <w:szCs w:val="22"/>
        </w:rPr>
        <w:t xml:space="preserve"> vigerá por 24 (vinte e quatro) meses, a partir da data de sua assinatura, podendo ser prorrogado e/ou alterado por mútuo consentimento entre os partícipes, mediante a celebração de termos aditivos.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0E5331" w:rsidRDefault="000E5331" w:rsidP="00A8192A">
      <w:pPr>
        <w:jc w:val="both"/>
        <w:rPr>
          <w:rFonts w:ascii="Arial" w:hAnsi="Arial" w:cs="Arial"/>
          <w:b/>
          <w:sz w:val="22"/>
          <w:szCs w:val="22"/>
        </w:rPr>
      </w:pPr>
    </w:p>
    <w:p w:rsidR="000E5331" w:rsidRDefault="000E5331" w:rsidP="00A8192A">
      <w:pPr>
        <w:jc w:val="both"/>
        <w:rPr>
          <w:rFonts w:ascii="Arial" w:hAnsi="Arial" w:cs="Arial"/>
          <w:b/>
          <w:sz w:val="22"/>
          <w:szCs w:val="22"/>
        </w:rPr>
      </w:pPr>
    </w:p>
    <w:p w:rsidR="000E5331" w:rsidRDefault="000E5331" w:rsidP="00A8192A">
      <w:pPr>
        <w:jc w:val="both"/>
        <w:rPr>
          <w:rFonts w:ascii="Arial" w:hAnsi="Arial" w:cs="Arial"/>
          <w:b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lastRenderedPageBreak/>
        <w:t>CLÁUSULA SÉTIMA – DA IGUALDADE E NÃO DISCRIMINAÇÃO</w:t>
      </w: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7.1.</w:t>
      </w:r>
      <w:r w:rsidRPr="000E53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5331">
        <w:rPr>
          <w:rFonts w:ascii="Arial" w:hAnsi="Arial" w:cs="Arial"/>
          <w:sz w:val="22"/>
          <w:szCs w:val="22"/>
        </w:rPr>
        <w:t>As PARTES comprometem-se a tratar com igualdade e não discriminação toda pessoa, sem distinção, garantindo o direito de ser tratada de forma igualitária pela lei e o direito à proteção contra a discriminação por diversos motivos, incluindo nacionalidade, orientação sexual e identidade de gênero.</w:t>
      </w: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CLÁUSULA OITAVA - DA NÃO EXCLUSIVIDADE</w:t>
      </w:r>
    </w:p>
    <w:p w:rsidR="00A8192A" w:rsidRPr="000E5331" w:rsidRDefault="00A8192A" w:rsidP="00A8192A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8.1.</w:t>
      </w:r>
      <w:r w:rsidRPr="000E53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5331">
        <w:rPr>
          <w:rFonts w:ascii="Arial" w:hAnsi="Arial" w:cs="Arial"/>
          <w:sz w:val="22"/>
          <w:szCs w:val="22"/>
        </w:rPr>
        <w:t xml:space="preserve">O presente instrumento não afeta a independência dos partícipes no estabelecimento de cooperação com outras empresas e/ou organizações com o mesmo objeto deste </w:t>
      </w:r>
      <w:r w:rsidRPr="000E5331">
        <w:rPr>
          <w:rFonts w:ascii="Arial" w:hAnsi="Arial" w:cs="Arial"/>
          <w:b/>
          <w:sz w:val="22"/>
          <w:szCs w:val="22"/>
        </w:rPr>
        <w:t>MEMORANDO</w:t>
      </w:r>
      <w:r w:rsidRPr="000E5331">
        <w:rPr>
          <w:rFonts w:ascii="Arial" w:hAnsi="Arial" w:cs="Arial"/>
          <w:sz w:val="22"/>
          <w:szCs w:val="22"/>
        </w:rPr>
        <w:t>.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CLÁUSULA NONA – DA CONFIDENCIALIDADE</w:t>
      </w:r>
    </w:p>
    <w:p w:rsidR="00A8192A" w:rsidRPr="000E5331" w:rsidRDefault="00A8192A" w:rsidP="00A8192A">
      <w:pPr>
        <w:jc w:val="both"/>
        <w:rPr>
          <w:rFonts w:ascii="Arial" w:hAnsi="Arial" w:cs="Arial"/>
          <w:bCs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Cs/>
          <w:sz w:val="22"/>
          <w:szCs w:val="22"/>
        </w:rPr>
      </w:pPr>
      <w:r w:rsidRPr="000E5331">
        <w:rPr>
          <w:rFonts w:ascii="Arial" w:hAnsi="Arial" w:cs="Arial"/>
          <w:bCs/>
          <w:sz w:val="22"/>
          <w:szCs w:val="22"/>
        </w:rPr>
        <w:t xml:space="preserve">9.1As PARTES comprometem-se a não divulgar ou utilizar (exceto se relacionado a este </w:t>
      </w:r>
      <w:r w:rsidRPr="000E5331">
        <w:rPr>
          <w:rFonts w:ascii="Arial" w:hAnsi="Arial" w:cs="Arial"/>
          <w:b/>
          <w:sz w:val="22"/>
          <w:szCs w:val="22"/>
        </w:rPr>
        <w:t>MEMORANDO</w:t>
      </w:r>
      <w:r w:rsidRPr="000E5331">
        <w:rPr>
          <w:rFonts w:ascii="Arial" w:hAnsi="Arial" w:cs="Arial"/>
          <w:bCs/>
          <w:sz w:val="22"/>
          <w:szCs w:val="22"/>
        </w:rPr>
        <w:t>) qualquer informação confidencial revelada a ela pela outra Parte, sob pena de pagamento de indenização correspondente ao prejuízo ou dano (moral ou material) causado com a divulgação indevida.</w:t>
      </w:r>
    </w:p>
    <w:p w:rsidR="00A8192A" w:rsidRPr="000E5331" w:rsidRDefault="00A8192A" w:rsidP="00A8192A">
      <w:pPr>
        <w:jc w:val="both"/>
        <w:rPr>
          <w:rFonts w:ascii="Arial" w:hAnsi="Arial" w:cs="Arial"/>
          <w:bCs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Cs/>
          <w:sz w:val="22"/>
          <w:szCs w:val="22"/>
        </w:rPr>
      </w:pPr>
      <w:r w:rsidRPr="000E5331">
        <w:rPr>
          <w:rFonts w:ascii="Arial" w:hAnsi="Arial" w:cs="Arial"/>
          <w:bCs/>
          <w:sz w:val="22"/>
          <w:szCs w:val="22"/>
        </w:rPr>
        <w:t>PARÁGRAFO ÚNICO - As obrigações de sigilo e confidencialidade quanto às informações, vigorarão até que elas caiam em domínio público, sem que a outra Parte também tenha concorrido para tal, ou então, sob autorização expressa da Parte em questão.</w:t>
      </w: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CLÁUSULA DÉCIMA - DA DENÚNCIA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 xml:space="preserve">10.1. Este </w:t>
      </w:r>
      <w:r w:rsidRPr="000E5331">
        <w:rPr>
          <w:rFonts w:ascii="Arial" w:hAnsi="Arial" w:cs="Arial"/>
          <w:b/>
          <w:sz w:val="22"/>
          <w:szCs w:val="22"/>
        </w:rPr>
        <w:t xml:space="preserve">MEMORANDO </w:t>
      </w:r>
      <w:r w:rsidRPr="000E5331">
        <w:rPr>
          <w:rFonts w:ascii="Arial" w:hAnsi="Arial" w:cs="Arial"/>
          <w:sz w:val="22"/>
          <w:szCs w:val="22"/>
        </w:rPr>
        <w:t>poderá ser denunciado a qualquer momento, por qualquer dos partícipes, mediante notificação por escrito ao outro, com antecedência mínima de 30 (trinta dias).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CLÁUSULA DÉCIMA PRIMEIRA - DAS DISPOSIÇÕES FINAIS</w:t>
      </w:r>
    </w:p>
    <w:p w:rsidR="00A8192A" w:rsidRPr="000E5331" w:rsidRDefault="00A8192A" w:rsidP="00A8192A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0E5331">
        <w:rPr>
          <w:rFonts w:ascii="Arial" w:hAnsi="Arial" w:cs="Arial"/>
          <w:sz w:val="22"/>
          <w:szCs w:val="22"/>
        </w:rPr>
        <w:t>11.1.</w:t>
      </w:r>
      <w:r w:rsidRPr="000E53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5331">
        <w:rPr>
          <w:rFonts w:ascii="Arial" w:hAnsi="Arial" w:cs="Arial"/>
          <w:sz w:val="22"/>
          <w:szCs w:val="22"/>
        </w:rPr>
        <w:t xml:space="preserve">Qualquer disputa em relação à interpretação ou aplicação deste </w:t>
      </w:r>
      <w:r w:rsidRPr="000E5331">
        <w:rPr>
          <w:rFonts w:ascii="Arial" w:hAnsi="Arial" w:cs="Arial"/>
          <w:b/>
          <w:sz w:val="22"/>
          <w:szCs w:val="22"/>
        </w:rPr>
        <w:t>MEMORANDO</w:t>
      </w:r>
      <w:r w:rsidRPr="000E5331">
        <w:rPr>
          <w:rFonts w:ascii="Arial" w:hAnsi="Arial" w:cs="Arial"/>
          <w:sz w:val="22"/>
          <w:szCs w:val="22"/>
        </w:rPr>
        <w:t xml:space="preserve"> será solucionada amigavelmente entre os partícipes.</w:t>
      </w:r>
    </w:p>
    <w:p w:rsidR="00A8192A" w:rsidRPr="000E5331" w:rsidRDefault="00A8192A" w:rsidP="00A8192A">
      <w:pPr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E por estarem de acordo com os seus termos, os partícipes assinam o presente Memorando de Entendimentos, em 2 (duas) vias originais, na presença das testemunhas abaixo.</w:t>
      </w:r>
    </w:p>
    <w:p w:rsidR="00A8192A" w:rsidRPr="000E5331" w:rsidRDefault="00A8192A" w:rsidP="00A8192A">
      <w:pPr>
        <w:jc w:val="both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center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 xml:space="preserve">Florianópolis/SC, ___ de ___________ </w:t>
      </w:r>
      <w:proofErr w:type="spellStart"/>
      <w:r w:rsidRPr="000E5331">
        <w:rPr>
          <w:rFonts w:ascii="Arial" w:hAnsi="Arial" w:cs="Arial"/>
          <w:sz w:val="22"/>
          <w:szCs w:val="22"/>
        </w:rPr>
        <w:t>de</w:t>
      </w:r>
      <w:proofErr w:type="spellEnd"/>
      <w:r w:rsidRPr="000E5331">
        <w:rPr>
          <w:rFonts w:ascii="Arial" w:hAnsi="Arial" w:cs="Arial"/>
          <w:sz w:val="22"/>
          <w:szCs w:val="22"/>
        </w:rPr>
        <w:t xml:space="preserve"> 2021.</w:t>
      </w:r>
    </w:p>
    <w:p w:rsidR="00A8192A" w:rsidRPr="000E5331" w:rsidRDefault="00A8192A" w:rsidP="00A8192A">
      <w:pPr>
        <w:jc w:val="center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center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center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____________________________________________</w:t>
      </w:r>
    </w:p>
    <w:p w:rsidR="00A8192A" w:rsidRPr="000E5331" w:rsidRDefault="00A8192A" w:rsidP="00A8192A">
      <w:pPr>
        <w:jc w:val="center"/>
        <w:rPr>
          <w:rFonts w:ascii="Arial" w:hAnsi="Arial" w:cs="Arial"/>
          <w:b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Wilton Silva Catelani - Presidente</w:t>
      </w:r>
    </w:p>
    <w:p w:rsidR="00A8192A" w:rsidRPr="000E5331" w:rsidRDefault="00A8192A" w:rsidP="00A8192A">
      <w:pPr>
        <w:jc w:val="center"/>
        <w:rPr>
          <w:rFonts w:ascii="Arial" w:hAnsi="Arial" w:cs="Arial"/>
          <w:sz w:val="22"/>
          <w:szCs w:val="22"/>
        </w:rPr>
      </w:pPr>
      <w:r w:rsidRPr="000E5331" w:rsidDel="00604B63">
        <w:rPr>
          <w:rFonts w:ascii="Arial" w:hAnsi="Arial" w:cs="Arial"/>
          <w:b/>
          <w:sz w:val="22"/>
          <w:szCs w:val="22"/>
        </w:rPr>
        <w:t xml:space="preserve"> </w:t>
      </w:r>
      <w:r w:rsidRPr="000E5331">
        <w:rPr>
          <w:rFonts w:ascii="Arial" w:hAnsi="Arial" w:cs="Arial"/>
          <w:b/>
          <w:sz w:val="22"/>
          <w:szCs w:val="22"/>
        </w:rPr>
        <w:t>BIM FÓRUM BRASIL</w:t>
      </w:r>
    </w:p>
    <w:p w:rsidR="00A8192A" w:rsidRPr="000E5331" w:rsidRDefault="00A8192A" w:rsidP="00A8192A">
      <w:pPr>
        <w:jc w:val="center"/>
        <w:rPr>
          <w:rFonts w:ascii="Arial" w:hAnsi="Arial" w:cs="Arial"/>
          <w:sz w:val="22"/>
          <w:szCs w:val="22"/>
        </w:rPr>
      </w:pPr>
    </w:p>
    <w:p w:rsidR="00A8192A" w:rsidRPr="000E5331" w:rsidRDefault="00A8192A" w:rsidP="00A8192A">
      <w:pPr>
        <w:jc w:val="center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sz w:val="22"/>
          <w:szCs w:val="22"/>
        </w:rPr>
        <w:t>_____________________________________________</w:t>
      </w:r>
    </w:p>
    <w:p w:rsidR="00A8192A" w:rsidRPr="000E5331" w:rsidRDefault="00A8192A" w:rsidP="00A819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5331">
        <w:rPr>
          <w:rFonts w:ascii="Arial" w:hAnsi="Arial" w:cs="Arial"/>
          <w:b/>
          <w:sz w:val="22"/>
          <w:szCs w:val="22"/>
        </w:rPr>
        <w:t>Patrícia Figueiredo Sarquis Herden - Presidente</w:t>
      </w:r>
      <w:r w:rsidRPr="000E533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192A" w:rsidRPr="000E5331" w:rsidRDefault="00A8192A" w:rsidP="00A8192A">
      <w:pPr>
        <w:jc w:val="center"/>
        <w:rPr>
          <w:rFonts w:ascii="Arial" w:hAnsi="Arial" w:cs="Arial"/>
          <w:sz w:val="22"/>
          <w:szCs w:val="22"/>
        </w:rPr>
      </w:pPr>
      <w:r w:rsidRPr="000E5331">
        <w:rPr>
          <w:rFonts w:ascii="Arial" w:hAnsi="Arial" w:cs="Arial"/>
          <w:bCs/>
          <w:sz w:val="22"/>
          <w:szCs w:val="22"/>
        </w:rPr>
        <w:t>Conselho de Arquitetura e Urbanismos de Santa Catarina</w:t>
      </w:r>
    </w:p>
    <w:p w:rsidR="00A8192A" w:rsidRDefault="00A8192A" w:rsidP="00A819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115ª REUNIÃO PLENÁRIA ORDINÁRIA DO CAU/SC</w:t>
      </w: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D4E03" w:rsidRDefault="00ED4E0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16"/>
        <w:gridCol w:w="992"/>
        <w:gridCol w:w="851"/>
        <w:gridCol w:w="986"/>
        <w:gridCol w:w="996"/>
      </w:tblGrid>
      <w:tr w:rsidR="000E5331" w:rsidRPr="000E5331" w:rsidTr="000E5331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25" w:type="dxa"/>
            <w:gridSpan w:val="4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16" w:type="dxa"/>
            <w:vMerge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E53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825" w:type="dxa"/>
            <w:gridSpan w:val="4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E5331" w:rsidRPr="000E5331" w:rsidTr="000E533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E5331" w:rsidRPr="000E5331" w:rsidRDefault="000E5331" w:rsidP="000E533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53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:rsidR="006067E8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E5331" w:rsidRPr="00A62640" w:rsidRDefault="000E5331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A826F7">
              <w:rPr>
                <w:rFonts w:ascii="Arial" w:hAnsi="Arial" w:cs="Arial"/>
                <w:sz w:val="22"/>
                <w:szCs w:val="22"/>
              </w:rPr>
              <w:t>115ª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826F7">
              <w:rPr>
                <w:rFonts w:ascii="Arial" w:hAnsi="Arial" w:cs="Arial"/>
                <w:sz w:val="22"/>
                <w:szCs w:val="22"/>
              </w:rPr>
              <w:t>14/05/2021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>item 6.</w:t>
            </w:r>
            <w:r w:rsidR="000E5331">
              <w:rPr>
                <w:rFonts w:ascii="Arial" w:hAnsi="Arial" w:cs="Arial"/>
                <w:sz w:val="22"/>
                <w:szCs w:val="22"/>
              </w:rPr>
              <w:t xml:space="preserve">3 - </w:t>
            </w:r>
            <w:r w:rsidR="000E5331" w:rsidRPr="00473E0E">
              <w:rPr>
                <w:rFonts w:ascii="Arial" w:eastAsia="MS Mincho" w:hAnsi="Arial" w:cs="Arial"/>
                <w:sz w:val="22"/>
                <w:szCs w:val="22"/>
              </w:rPr>
              <w:t>Memorando de Entendimento – CAU/SC e BFB - BIM Fórum Brasil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787A14">
              <w:rPr>
                <w:rFonts w:ascii="Arial" w:hAnsi="Arial" w:cs="Arial"/>
                <w:sz w:val="22"/>
                <w:szCs w:val="22"/>
              </w:rPr>
              <w:t>(1</w:t>
            </w:r>
            <w:r w:rsidR="000E5331">
              <w:rPr>
                <w:rFonts w:ascii="Arial" w:hAnsi="Arial" w:cs="Arial"/>
                <w:sz w:val="22"/>
                <w:szCs w:val="22"/>
              </w:rPr>
              <w:t>0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0E5331">
              <w:rPr>
                <w:rFonts w:ascii="Arial" w:hAnsi="Arial" w:cs="Arial"/>
                <w:sz w:val="22"/>
                <w:szCs w:val="22"/>
              </w:rPr>
              <w:t>6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0E5331" w:rsidRPr="00857C5A" w:rsidRDefault="000E5331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51130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0E5331">
          <w:rPr>
            <w:rFonts w:ascii="Arial" w:hAnsi="Arial" w:cs="Arial"/>
            <w:sz w:val="18"/>
            <w:szCs w:val="18"/>
          </w:rPr>
          <w:t>-7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4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3"/>
  </w:num>
  <w:num w:numId="38">
    <w:abstractNumId w:val="16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2A7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2B8"/>
    <w:rsid w:val="00E47E5F"/>
    <w:rsid w:val="00E50F29"/>
    <w:rsid w:val="00E51130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E2A6C0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DEC3-1F77-4FBA-BE53-A8B2E539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1933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2021-05-18T16:33:00Z</cp:lastPrinted>
  <dcterms:created xsi:type="dcterms:W3CDTF">2021-05-17T18:11:00Z</dcterms:created>
  <dcterms:modified xsi:type="dcterms:W3CDTF">2021-05-18T16:33:00Z</dcterms:modified>
</cp:coreProperties>
</file>