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4C1C27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33BF5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BB58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BB58DF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Revogação da Deliberação Plenária DPOSC N° 672/2022 do CAU/SC</w:t>
            </w:r>
          </w:p>
        </w:tc>
      </w:tr>
      <w:tr w:rsidR="00E01EE7" w:rsidRPr="00C56AD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206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70</w:t>
            </w:r>
            <w:r w:rsidR="00365F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:rsidR="00BB58DF" w:rsidRDefault="00BB58DF" w:rsidP="00E83204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 a revogação da Deliberação Plenária DPOSC N° 672/2022 do CAU/SC.</w:t>
      </w:r>
    </w:p>
    <w:p w:rsidR="00BB58DF" w:rsidRPr="004C1C27" w:rsidRDefault="00BB58DF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reunido ordinariamente no dia </w:t>
      </w:r>
      <w:r w:rsidR="00CF3AAB">
        <w:rPr>
          <w:rFonts w:ascii="Arial" w:hAnsi="Arial" w:cs="Arial"/>
          <w:sz w:val="22"/>
          <w:szCs w:val="22"/>
        </w:rPr>
        <w:t xml:space="preserve">21 de outubro </w:t>
      </w:r>
      <w:r w:rsidRPr="004C1C27">
        <w:rPr>
          <w:rFonts w:ascii="Arial" w:hAnsi="Arial" w:cs="Arial"/>
          <w:sz w:val="22"/>
          <w:szCs w:val="22"/>
        </w:rPr>
        <w:t>de 2022, de forma virtual, nos termos da DPOSC nº 589/2021, e presencial, nos termos da Deliberação Plenária CAU/SC nº 642/2021, após análise do assunto em epígrafe,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  <w:r w:rsidRPr="00BB58DF">
        <w:rPr>
          <w:rFonts w:ascii="Arial" w:hAnsi="Arial" w:cs="Arial"/>
          <w:sz w:val="22"/>
          <w:szCs w:val="22"/>
        </w:rPr>
        <w:t xml:space="preserve">Considerando a Deliberação 24/2021 da CEP-CAU/BR que revogou as limitações e restrições impostas pelas Deliberações da CEP-CAU/BR com data anterior a 23 de outubro de 2020; </w:t>
      </w:r>
    </w:p>
    <w:p w:rsidR="00BB58DF" w:rsidRP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</w:p>
    <w:p w:rsid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  <w:r w:rsidRPr="00BB58DF">
        <w:rPr>
          <w:rFonts w:ascii="Arial" w:hAnsi="Arial" w:cs="Arial"/>
          <w:sz w:val="22"/>
          <w:szCs w:val="22"/>
        </w:rPr>
        <w:t>Considerando a Deliberação Plenária DPOSC 672/2022 que indica atividades profissionais restringidas no âmbito de Santa Catarina;</w:t>
      </w:r>
    </w:p>
    <w:p w:rsidR="00BB58DF" w:rsidRP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</w:p>
    <w:p w:rsid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  <w:r w:rsidRPr="00BB58DF">
        <w:rPr>
          <w:rFonts w:ascii="Arial" w:hAnsi="Arial" w:cs="Arial"/>
          <w:sz w:val="22"/>
          <w:szCs w:val="22"/>
        </w:rPr>
        <w:t>Considerando a necessidade de alinhamento e similaridade na forma de tratamento das atividades profissionais pelos CAU/</w:t>
      </w:r>
      <w:proofErr w:type="spellStart"/>
      <w:r w:rsidRPr="00BB58DF">
        <w:rPr>
          <w:rFonts w:ascii="Arial" w:hAnsi="Arial" w:cs="Arial"/>
          <w:sz w:val="22"/>
          <w:szCs w:val="22"/>
        </w:rPr>
        <w:t>UFs</w:t>
      </w:r>
      <w:proofErr w:type="spellEnd"/>
      <w:r w:rsidRPr="00BB58DF">
        <w:rPr>
          <w:rFonts w:ascii="Arial" w:hAnsi="Arial" w:cs="Arial"/>
          <w:sz w:val="22"/>
          <w:szCs w:val="22"/>
        </w:rPr>
        <w:t>;</w:t>
      </w:r>
    </w:p>
    <w:p w:rsidR="00BB58DF" w:rsidRP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</w:p>
    <w:p w:rsidR="00E83204" w:rsidRDefault="00BB58DF" w:rsidP="00BB58DF">
      <w:pPr>
        <w:jc w:val="both"/>
        <w:rPr>
          <w:rFonts w:ascii="Arial" w:hAnsi="Arial" w:cs="Arial"/>
          <w:sz w:val="22"/>
          <w:szCs w:val="22"/>
        </w:rPr>
      </w:pPr>
      <w:r w:rsidRPr="00BB58DF">
        <w:rPr>
          <w:rFonts w:ascii="Arial" w:hAnsi="Arial" w:cs="Arial"/>
          <w:sz w:val="22"/>
          <w:szCs w:val="22"/>
        </w:rPr>
        <w:t>Considerando a necessidade de se fornecer informação à sociedade sobre as atividades profissionais do arquiteto e urbanista</w:t>
      </w:r>
      <w:r>
        <w:rPr>
          <w:rFonts w:ascii="Arial" w:hAnsi="Arial" w:cs="Arial"/>
          <w:sz w:val="22"/>
          <w:szCs w:val="22"/>
        </w:rPr>
        <w:t>; e</w:t>
      </w:r>
    </w:p>
    <w:p w:rsid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</w:p>
    <w:p w:rsidR="00E83204" w:rsidRDefault="00E83204" w:rsidP="00E832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BB58DF">
        <w:rPr>
          <w:rFonts w:ascii="Arial" w:hAnsi="Arial" w:cs="Arial"/>
          <w:sz w:val="22"/>
          <w:szCs w:val="22"/>
        </w:rPr>
        <w:t>os termos d</w:t>
      </w:r>
      <w:r>
        <w:rPr>
          <w:rFonts w:ascii="Arial" w:hAnsi="Arial" w:cs="Arial"/>
          <w:sz w:val="22"/>
          <w:szCs w:val="22"/>
        </w:rPr>
        <w:t>a Deliberação nº 0</w:t>
      </w:r>
      <w:r w:rsidR="00BB58DF">
        <w:rPr>
          <w:rFonts w:ascii="Arial" w:hAnsi="Arial" w:cs="Arial"/>
          <w:sz w:val="22"/>
          <w:szCs w:val="22"/>
        </w:rPr>
        <w:t>57</w:t>
      </w:r>
      <w:r>
        <w:rPr>
          <w:rFonts w:ascii="Arial" w:hAnsi="Arial" w:cs="Arial"/>
          <w:sz w:val="22"/>
          <w:szCs w:val="22"/>
        </w:rPr>
        <w:t>/2022 d</w:t>
      </w:r>
      <w:r w:rsidR="00BB58DF">
        <w:rPr>
          <w:rFonts w:ascii="Arial" w:hAnsi="Arial" w:cs="Arial"/>
          <w:sz w:val="22"/>
          <w:szCs w:val="22"/>
        </w:rPr>
        <w:t>a CEP-CAU/SC</w:t>
      </w:r>
      <w:r>
        <w:rPr>
          <w:rFonts w:ascii="Arial" w:hAnsi="Arial" w:cs="Arial"/>
          <w:sz w:val="22"/>
          <w:szCs w:val="22"/>
        </w:rPr>
        <w:t xml:space="preserve">, de </w:t>
      </w:r>
      <w:r w:rsidR="00BB58DF">
        <w:rPr>
          <w:rFonts w:ascii="Arial" w:hAnsi="Arial" w:cs="Arial"/>
          <w:sz w:val="22"/>
          <w:szCs w:val="22"/>
        </w:rPr>
        <w:t>27 de setembro</w:t>
      </w:r>
      <w:r>
        <w:rPr>
          <w:rFonts w:ascii="Arial" w:hAnsi="Arial" w:cs="Arial"/>
          <w:sz w:val="22"/>
          <w:szCs w:val="22"/>
        </w:rPr>
        <w:t xml:space="preserve"> de 2022, que </w:t>
      </w:r>
      <w:r w:rsidR="00BB58DF">
        <w:rPr>
          <w:rFonts w:ascii="Arial" w:hAnsi="Arial" w:cs="Arial"/>
          <w:sz w:val="22"/>
          <w:szCs w:val="22"/>
        </w:rPr>
        <w:t>propõe a revogação da Deliberação Plenária DPOSC N° 672/2022 do CAU/SC</w:t>
      </w:r>
      <w:r>
        <w:rPr>
          <w:rFonts w:ascii="Arial" w:hAnsi="Arial" w:cs="Arial"/>
          <w:sz w:val="22"/>
          <w:szCs w:val="22"/>
        </w:rPr>
        <w:t>; e</w:t>
      </w:r>
    </w:p>
    <w:p w:rsidR="00E83204" w:rsidRDefault="00E83204" w:rsidP="00E83204">
      <w:pPr>
        <w:jc w:val="both"/>
        <w:rPr>
          <w:rFonts w:ascii="Arial" w:hAnsi="Arial" w:cs="Arial"/>
          <w:sz w:val="22"/>
          <w:szCs w:val="22"/>
        </w:rPr>
      </w:pPr>
    </w:p>
    <w:p w:rsidR="00060377" w:rsidRDefault="00060377" w:rsidP="000603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60377" w:rsidRPr="00120B7C" w:rsidRDefault="00060377" w:rsidP="00060377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:rsidR="00060377" w:rsidRPr="00120B7C" w:rsidRDefault="00060377" w:rsidP="00060377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– Aprovar a revogação da Deliberação Plenária DPOSC N° 672/2022 do CAU/SC, a fim de extinguir as limitações e restrições de atividades profissionais de arquiteto e urbanistas no âmbito de Santa Catarina, seguindo normativos do CAU/BR;</w:t>
      </w:r>
    </w:p>
    <w:p w:rsid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</w:p>
    <w:p w:rsidR="00BB58DF" w:rsidRDefault="00BB58DF" w:rsidP="00BB58D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Encaminhar a presente deliberação ao CAU/BR para conhecimento;  </w:t>
      </w:r>
    </w:p>
    <w:p w:rsidR="00060377" w:rsidRDefault="00060377" w:rsidP="00055913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BB58DF" w:rsidP="0006037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33E87">
        <w:rPr>
          <w:rFonts w:ascii="Arial" w:hAnsi="Arial" w:cs="Arial"/>
          <w:sz w:val="22"/>
          <w:szCs w:val="22"/>
        </w:rPr>
        <w:t xml:space="preserve"> – </w:t>
      </w:r>
      <w:r w:rsidR="00C56ADB" w:rsidRPr="00B35620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53AAB">
        <w:rPr>
          <w:rFonts w:ascii="Arial" w:hAnsi="Arial" w:cs="Arial"/>
          <w:sz w:val="22"/>
          <w:szCs w:val="22"/>
        </w:rPr>
        <w:t xml:space="preserve">21 de outubro </w:t>
      </w:r>
      <w:r w:rsidRPr="00B35620">
        <w:rPr>
          <w:rFonts w:ascii="Arial" w:hAnsi="Arial" w:cs="Arial"/>
          <w:sz w:val="22"/>
          <w:szCs w:val="22"/>
        </w:rPr>
        <w:t>de 2022.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C56ADB" w:rsidRDefault="00C60C55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>
        <w:rPr>
          <w:rFonts w:ascii="Arial" w:hAnsi="Arial" w:cs="Arial"/>
          <w:bCs/>
          <w:sz w:val="20"/>
          <w:szCs w:val="20"/>
          <w:lang w:eastAsia="pt-BR"/>
        </w:rPr>
        <w:t>Publicada em: 25/10/2022.</w:t>
      </w: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Pr="000C5AD7" w:rsidRDefault="00365FFC" w:rsidP="00C56A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132</w:t>
      </w:r>
      <w:r w:rsidR="00C56ADB"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344"/>
        <w:gridCol w:w="934"/>
        <w:gridCol w:w="1107"/>
        <w:gridCol w:w="1071"/>
        <w:gridCol w:w="1074"/>
      </w:tblGrid>
      <w:tr w:rsidR="00C56ADB" w:rsidRPr="000C5AD7" w:rsidTr="0043306C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34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4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Abst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43306C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43306C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43306C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43306C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433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43306C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43306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43306C" w:rsidRDefault="0043306C" w:rsidP="00C56ADB">
      <w:pPr>
        <w:tabs>
          <w:tab w:val="left" w:pos="1418"/>
        </w:tabs>
        <w:rPr>
          <w:rFonts w:ascii="Arial" w:hAnsi="Arial" w:cs="Arial"/>
        </w:rPr>
      </w:pPr>
    </w:p>
    <w:p w:rsidR="0043306C" w:rsidRPr="000C5AD7" w:rsidRDefault="0043306C" w:rsidP="00C56ADB">
      <w:pPr>
        <w:tabs>
          <w:tab w:val="left" w:pos="1418"/>
        </w:tabs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22"/>
        <w:gridCol w:w="4792"/>
      </w:tblGrid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43306C" w:rsidRDefault="00C56ADB" w:rsidP="00587AC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495007" w:rsidRPr="00433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43306C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495007" w:rsidRPr="0043306C">
              <w:rPr>
                <w:rFonts w:ascii="Arial" w:hAnsi="Arial" w:cs="Arial"/>
                <w:sz w:val="22"/>
                <w:szCs w:val="22"/>
              </w:rPr>
              <w:t>132</w:t>
            </w:r>
            <w:r w:rsidRPr="0043306C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495007" w:rsidRPr="004330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0C5AD7" w:rsidTr="00587AC8">
        <w:trPr>
          <w:trHeight w:val="620"/>
        </w:trPr>
        <w:tc>
          <w:tcPr>
            <w:tcW w:w="9214" w:type="dxa"/>
            <w:gridSpan w:val="2"/>
            <w:shd w:val="clear" w:color="auto" w:fill="D9D9D9"/>
          </w:tcPr>
          <w:p w:rsidR="00C56ADB" w:rsidRPr="0043306C" w:rsidRDefault="00C56ADB" w:rsidP="00587AC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95007" w:rsidRPr="0043306C">
              <w:rPr>
                <w:rFonts w:ascii="Arial" w:hAnsi="Arial" w:cs="Arial"/>
                <w:sz w:val="22"/>
                <w:szCs w:val="22"/>
              </w:rPr>
              <w:t>21/10</w:t>
            </w:r>
            <w:r w:rsidRPr="0043306C">
              <w:rPr>
                <w:rFonts w:ascii="Arial" w:hAnsi="Arial" w:cs="Arial"/>
                <w:sz w:val="22"/>
                <w:szCs w:val="22"/>
              </w:rPr>
              <w:t>/2022</w:t>
            </w:r>
            <w:r w:rsidR="00495007" w:rsidRPr="004330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43306C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95007" w:rsidRPr="0043306C">
              <w:rPr>
                <w:rFonts w:ascii="Arial" w:hAnsi="Arial" w:cs="Arial"/>
                <w:sz w:val="22"/>
                <w:szCs w:val="22"/>
              </w:rPr>
              <w:t>Item 6.3.</w:t>
            </w:r>
            <w:r w:rsidR="0043306C" w:rsidRPr="0043306C">
              <w:rPr>
                <w:rFonts w:ascii="Arial" w:hAnsi="Arial" w:cs="Arial"/>
                <w:sz w:val="22"/>
                <w:szCs w:val="22"/>
              </w:rPr>
              <w:t xml:space="preserve"> Proposta de r</w:t>
            </w:r>
            <w:r w:rsidR="00495007" w:rsidRPr="0043306C">
              <w:rPr>
                <w:rFonts w:ascii="Arial" w:hAnsi="Arial" w:cs="Arial"/>
                <w:sz w:val="22"/>
                <w:szCs w:val="22"/>
              </w:rPr>
              <w:t xml:space="preserve">evogação da Deliberação Plenária DPOSC N° 672/2022 do CAU/SC. </w:t>
            </w:r>
          </w:p>
          <w:p w:rsidR="00495007" w:rsidRPr="0043306C" w:rsidRDefault="00495007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665D04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5D04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495007" w:rsidRPr="00665D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0C5AD7" w:rsidTr="00587AC8">
        <w:trPr>
          <w:trHeight w:val="277"/>
        </w:trPr>
        <w:tc>
          <w:tcPr>
            <w:tcW w:w="9214" w:type="dxa"/>
            <w:gridSpan w:val="2"/>
            <w:shd w:val="clear" w:color="auto" w:fill="D9D9D9"/>
          </w:tcPr>
          <w:p w:rsidR="00C56ADB" w:rsidRPr="0043306C" w:rsidRDefault="00C56ADB" w:rsidP="00587AC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43306C">
              <w:rPr>
                <w:rFonts w:ascii="Arial" w:hAnsi="Arial" w:cs="Arial"/>
                <w:sz w:val="22"/>
                <w:szCs w:val="22"/>
              </w:rPr>
              <w:t>(0</w:t>
            </w:r>
            <w:r w:rsidR="0043306C">
              <w:rPr>
                <w:rFonts w:ascii="Arial" w:hAnsi="Arial" w:cs="Arial"/>
                <w:sz w:val="22"/>
                <w:szCs w:val="22"/>
              </w:rPr>
              <w:t>7</w:t>
            </w:r>
            <w:r w:rsidRPr="0043306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3306C">
              <w:rPr>
                <w:rFonts w:ascii="Arial" w:hAnsi="Arial" w:cs="Arial"/>
                <w:sz w:val="22"/>
                <w:szCs w:val="22"/>
              </w:rPr>
              <w:t>(0</w:t>
            </w:r>
            <w:r w:rsidR="0043306C">
              <w:rPr>
                <w:rFonts w:ascii="Arial" w:hAnsi="Arial" w:cs="Arial"/>
                <w:sz w:val="22"/>
                <w:szCs w:val="22"/>
              </w:rPr>
              <w:t>0</w:t>
            </w:r>
            <w:r w:rsidRPr="0043306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3306C">
              <w:rPr>
                <w:rFonts w:ascii="Arial" w:hAnsi="Arial" w:cs="Arial"/>
                <w:sz w:val="22"/>
                <w:szCs w:val="22"/>
              </w:rPr>
              <w:t>(0</w:t>
            </w:r>
            <w:r w:rsidR="0043306C">
              <w:rPr>
                <w:rFonts w:ascii="Arial" w:hAnsi="Arial" w:cs="Arial"/>
                <w:sz w:val="22"/>
                <w:szCs w:val="22"/>
              </w:rPr>
              <w:t>2</w:t>
            </w:r>
            <w:r w:rsidRPr="0043306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3306C">
              <w:rPr>
                <w:rFonts w:ascii="Arial" w:hAnsi="Arial" w:cs="Arial"/>
                <w:sz w:val="22"/>
                <w:szCs w:val="22"/>
              </w:rPr>
              <w:t>(0</w:t>
            </w:r>
            <w:r w:rsidR="0043306C">
              <w:rPr>
                <w:rFonts w:ascii="Arial" w:hAnsi="Arial" w:cs="Arial"/>
                <w:sz w:val="22"/>
                <w:szCs w:val="22"/>
              </w:rPr>
              <w:t>5</w:t>
            </w:r>
            <w:r w:rsidRPr="0043306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3306C">
              <w:rPr>
                <w:rFonts w:ascii="Arial" w:hAnsi="Arial" w:cs="Arial"/>
                <w:sz w:val="22"/>
                <w:szCs w:val="22"/>
              </w:rPr>
              <w:t>(14</w:t>
            </w:r>
            <w:r w:rsidRPr="004330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43306C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43306C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587AC8">
        <w:trPr>
          <w:trHeight w:val="68"/>
        </w:trPr>
        <w:tc>
          <w:tcPr>
            <w:tcW w:w="4422" w:type="dxa"/>
            <w:shd w:val="clear" w:color="auto" w:fill="D9D9D9"/>
          </w:tcPr>
          <w:p w:rsidR="0043306C" w:rsidRPr="00D27B36" w:rsidRDefault="002B335D" w:rsidP="0043306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C56ADB" w:rsidRPr="0043306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3306C" w:rsidRPr="00D27B36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C56ADB" w:rsidRPr="0043306C" w:rsidRDefault="0043306C" w:rsidP="0043306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27B36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</w:p>
        </w:tc>
        <w:tc>
          <w:tcPr>
            <w:tcW w:w="4792" w:type="dxa"/>
            <w:shd w:val="clear" w:color="auto" w:fill="D9D9D9"/>
          </w:tcPr>
          <w:p w:rsidR="00C56ADB" w:rsidRPr="0043306C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43306C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43306C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43306C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:rsidR="00C56ADB" w:rsidRPr="0043306C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56ADB" w:rsidRDefault="00C56ADB" w:rsidP="00C56ADB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8B5386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8B5386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C9B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35D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5FFC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06C1"/>
    <w:rsid w:val="0042242B"/>
    <w:rsid w:val="00422FAE"/>
    <w:rsid w:val="004251AA"/>
    <w:rsid w:val="004260FF"/>
    <w:rsid w:val="00427A8E"/>
    <w:rsid w:val="004302F2"/>
    <w:rsid w:val="004314AE"/>
    <w:rsid w:val="0043306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007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D04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AA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5386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44D0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8DF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0C55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204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5E8E-467D-4DDA-ACF6-AC45ECB9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11</cp:revision>
  <cp:lastPrinted>2022-10-25T18:45:00Z</cp:lastPrinted>
  <dcterms:created xsi:type="dcterms:W3CDTF">2022-10-25T14:59:00Z</dcterms:created>
  <dcterms:modified xsi:type="dcterms:W3CDTF">2022-10-25T18:45:00Z</dcterms:modified>
</cp:coreProperties>
</file>